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92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4"/>
      </w:tblGrid>
      <w:tr w:rsidR="00225C45" w:rsidRPr="00FD5EA4" w14:paraId="2C2511D0" w14:textId="77777777" w:rsidTr="007756F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924" w:type="dxa"/>
            <w:tcBorders>
              <w:top w:val="nil"/>
              <w:left w:val="nil"/>
              <w:bottom w:val="nil"/>
              <w:right w:val="nil"/>
            </w:tcBorders>
            <w:shd w:val="clear" w:color="auto" w:fill="AB0033"/>
            <w:vAlign w:val="center"/>
          </w:tcPr>
          <w:p w14:paraId="37394BFE" w14:textId="4FD31F2F" w:rsidR="00225C45" w:rsidRPr="00A96300" w:rsidRDefault="00225C45" w:rsidP="008F5B7B">
            <w:pPr>
              <w:jc w:val="center"/>
              <w:rPr>
                <w:rFonts w:asciiTheme="majorHAnsi" w:eastAsia="Helvetica Neue" w:hAnsiTheme="majorHAnsi" w:cstheme="majorHAnsi"/>
                <w:color w:val="FFFFFF" w:themeColor="background1"/>
                <w:sz w:val="20"/>
                <w:szCs w:val="20"/>
              </w:rPr>
            </w:pPr>
            <w:r w:rsidRPr="00A96300">
              <w:rPr>
                <w:rFonts w:asciiTheme="majorHAnsi" w:eastAsia="Helvetica Neue" w:hAnsiTheme="majorHAnsi" w:cstheme="majorHAnsi"/>
                <w:color w:val="FFFFFF" w:themeColor="background1"/>
                <w:sz w:val="20"/>
                <w:szCs w:val="20"/>
              </w:rPr>
              <w:t xml:space="preserve">REGLAMENTO DE </w:t>
            </w:r>
            <w:r w:rsidR="004400DA">
              <w:rPr>
                <w:rFonts w:asciiTheme="majorHAnsi" w:eastAsia="Helvetica Neue" w:hAnsiTheme="majorHAnsi" w:cstheme="majorHAnsi"/>
                <w:color w:val="FFFFFF" w:themeColor="background1"/>
                <w:sz w:val="20"/>
                <w:szCs w:val="20"/>
              </w:rPr>
              <w:t xml:space="preserve"> POSGRADO</w:t>
            </w:r>
          </w:p>
        </w:tc>
      </w:tr>
    </w:tbl>
    <w:tbl>
      <w:tblPr>
        <w:tblStyle w:val="a0"/>
        <w:tblW w:w="9924" w:type="dxa"/>
        <w:tblInd w:w="-355"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3828"/>
        <w:gridCol w:w="1985"/>
        <w:gridCol w:w="4111"/>
      </w:tblGrid>
      <w:tr w:rsidR="00225C45" w:rsidRPr="00FD5EA4" w14:paraId="7AEFE69D" w14:textId="77777777" w:rsidTr="002852EA">
        <w:tc>
          <w:tcPr>
            <w:tcW w:w="3828" w:type="dxa"/>
            <w:tcBorders>
              <w:top w:val="nil"/>
            </w:tcBorders>
            <w:shd w:val="clear" w:color="auto" w:fill="auto"/>
            <w:vAlign w:val="center"/>
          </w:tcPr>
          <w:p w14:paraId="2529176E"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p>
        </w:tc>
        <w:tc>
          <w:tcPr>
            <w:tcW w:w="1985" w:type="dxa"/>
            <w:tcBorders>
              <w:top w:val="nil"/>
            </w:tcBorders>
            <w:shd w:val="clear" w:color="auto" w:fill="D9D9D9" w:themeFill="background1" w:themeFillShade="D9"/>
            <w:vAlign w:val="center"/>
          </w:tcPr>
          <w:p w14:paraId="347499A6"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r w:rsidRPr="009452A2">
              <w:rPr>
                <w:rFonts w:asciiTheme="majorHAnsi" w:eastAsia="Helvetica Neue" w:hAnsiTheme="majorHAnsi" w:cstheme="majorHAnsi"/>
                <w:bCs/>
                <w:color w:val="000000" w:themeColor="text1"/>
                <w:sz w:val="20"/>
                <w:szCs w:val="20"/>
                <w:shd w:val="clear" w:color="auto" w:fill="D9D9D9" w:themeFill="background1" w:themeFillShade="D9"/>
              </w:rPr>
              <w:t xml:space="preserve">Fecha </w:t>
            </w:r>
            <w:r w:rsidRPr="009452A2">
              <w:rPr>
                <w:rFonts w:asciiTheme="majorHAnsi" w:eastAsia="Helvetica Neue" w:hAnsiTheme="majorHAnsi" w:cstheme="majorHAnsi"/>
                <w:bCs/>
                <w:i/>
                <w:iCs/>
                <w:color w:val="000000" w:themeColor="text1"/>
                <w:sz w:val="20"/>
                <w:szCs w:val="20"/>
                <w:shd w:val="clear" w:color="auto" w:fill="D9D9D9" w:themeFill="background1" w:themeFillShade="D9"/>
              </w:rPr>
              <w:t>(día/mes/año</w:t>
            </w:r>
            <w:r w:rsidRPr="009452A2">
              <w:rPr>
                <w:rFonts w:asciiTheme="majorHAnsi" w:eastAsia="Helvetica Neue" w:hAnsiTheme="majorHAnsi" w:cstheme="majorHAnsi"/>
                <w:bCs/>
                <w:i/>
                <w:iCs/>
                <w:color w:val="000000" w:themeColor="text1"/>
                <w:sz w:val="20"/>
                <w:szCs w:val="20"/>
              </w:rPr>
              <w:t>)</w:t>
            </w:r>
          </w:p>
        </w:tc>
        <w:tc>
          <w:tcPr>
            <w:tcW w:w="4111" w:type="dxa"/>
            <w:tcBorders>
              <w:top w:val="nil"/>
            </w:tcBorders>
            <w:shd w:val="clear" w:color="auto" w:fill="auto"/>
            <w:vAlign w:val="center"/>
          </w:tcPr>
          <w:p w14:paraId="7837421A" w14:textId="77777777" w:rsidR="00225C45" w:rsidRPr="009452A2" w:rsidRDefault="00225C45" w:rsidP="008F5B7B">
            <w:pPr>
              <w:tabs>
                <w:tab w:val="left" w:pos="6570"/>
              </w:tabs>
              <w:rPr>
                <w:rFonts w:asciiTheme="majorHAnsi" w:eastAsia="Helvetica Neue" w:hAnsiTheme="majorHAnsi" w:cstheme="majorHAnsi"/>
                <w:b/>
                <w:color w:val="000000" w:themeColor="text1"/>
                <w:sz w:val="20"/>
                <w:szCs w:val="20"/>
              </w:rPr>
            </w:pPr>
          </w:p>
        </w:tc>
      </w:tr>
      <w:tr w:rsidR="00225C45" w:rsidRPr="00FD5EA4" w14:paraId="2F9A566E" w14:textId="77777777" w:rsidTr="008F5B7B">
        <w:trPr>
          <w:trHeight w:val="680"/>
        </w:trPr>
        <w:tc>
          <w:tcPr>
            <w:tcW w:w="3828" w:type="dxa"/>
            <w:shd w:val="clear" w:color="auto" w:fill="D9D9D9" w:themeFill="background1" w:themeFillShade="D9"/>
            <w:vAlign w:val="center"/>
          </w:tcPr>
          <w:p w14:paraId="606F08F3"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r w:rsidRPr="009452A2">
              <w:rPr>
                <w:rFonts w:asciiTheme="majorHAnsi" w:eastAsia="Helvetica Neue" w:hAnsiTheme="majorHAnsi" w:cstheme="majorHAnsi"/>
                <w:bCs/>
                <w:color w:val="000000" w:themeColor="text1"/>
                <w:sz w:val="20"/>
                <w:szCs w:val="20"/>
              </w:rPr>
              <w:t>Nombre de la Institución autorizado por la autoridad educativa</w:t>
            </w:r>
          </w:p>
          <w:p w14:paraId="1EB72C1E" w14:textId="77777777" w:rsidR="00225C45" w:rsidRPr="009452A2" w:rsidRDefault="00225C45" w:rsidP="008F5B7B">
            <w:pPr>
              <w:tabs>
                <w:tab w:val="left" w:pos="6570"/>
              </w:tabs>
              <w:rPr>
                <w:rFonts w:asciiTheme="majorHAnsi" w:eastAsia="Helvetica Neue" w:hAnsiTheme="majorHAnsi" w:cstheme="majorHAnsi"/>
                <w:bCs/>
                <w:i/>
                <w:color w:val="000000" w:themeColor="text1"/>
                <w:sz w:val="20"/>
                <w:szCs w:val="20"/>
              </w:rPr>
            </w:pPr>
            <w:r w:rsidRPr="009452A2">
              <w:rPr>
                <w:rFonts w:asciiTheme="majorHAnsi" w:eastAsia="Helvetica Neue" w:hAnsiTheme="majorHAnsi" w:cstheme="majorHAnsi"/>
                <w:bCs/>
                <w:i/>
                <w:color w:val="000000" w:themeColor="text1"/>
                <w:sz w:val="20"/>
                <w:szCs w:val="20"/>
              </w:rPr>
              <w:t>(No aplica para instituciones sin RVOE/Autorización)</w:t>
            </w:r>
          </w:p>
        </w:tc>
        <w:tc>
          <w:tcPr>
            <w:tcW w:w="6096" w:type="dxa"/>
            <w:gridSpan w:val="2"/>
            <w:shd w:val="clear" w:color="auto" w:fill="auto"/>
            <w:vAlign w:val="center"/>
          </w:tcPr>
          <w:p w14:paraId="74244C91"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p>
        </w:tc>
      </w:tr>
      <w:tr w:rsidR="00225C45" w:rsidRPr="00FD5EA4" w14:paraId="5A003EAB" w14:textId="77777777" w:rsidTr="008F5B7B">
        <w:trPr>
          <w:trHeight w:val="567"/>
        </w:trPr>
        <w:tc>
          <w:tcPr>
            <w:tcW w:w="3828" w:type="dxa"/>
            <w:shd w:val="clear" w:color="auto" w:fill="D9D9D9" w:themeFill="background1" w:themeFillShade="D9"/>
            <w:vAlign w:val="center"/>
          </w:tcPr>
          <w:p w14:paraId="4EF28843"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r w:rsidRPr="009452A2">
              <w:rPr>
                <w:rFonts w:asciiTheme="majorHAnsi" w:eastAsia="Helvetica Neue" w:hAnsiTheme="majorHAnsi" w:cstheme="majorHAnsi"/>
                <w:bCs/>
                <w:color w:val="000000" w:themeColor="text1"/>
                <w:sz w:val="20"/>
                <w:szCs w:val="20"/>
              </w:rPr>
              <w:t>Nombre completo de la persona Física/Moral</w:t>
            </w:r>
          </w:p>
        </w:tc>
        <w:tc>
          <w:tcPr>
            <w:tcW w:w="6096" w:type="dxa"/>
            <w:gridSpan w:val="2"/>
            <w:shd w:val="clear" w:color="auto" w:fill="auto"/>
            <w:vAlign w:val="center"/>
          </w:tcPr>
          <w:p w14:paraId="4962450F"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p>
        </w:tc>
      </w:tr>
      <w:tr w:rsidR="00225C45" w:rsidRPr="00FD5EA4" w14:paraId="0D4B1634" w14:textId="77777777" w:rsidTr="008F5B7B">
        <w:trPr>
          <w:trHeight w:val="567"/>
        </w:trPr>
        <w:tc>
          <w:tcPr>
            <w:tcW w:w="3828" w:type="dxa"/>
            <w:shd w:val="clear" w:color="auto" w:fill="D9D9D9" w:themeFill="background1" w:themeFillShade="D9"/>
            <w:vAlign w:val="center"/>
          </w:tcPr>
          <w:p w14:paraId="56710761"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r w:rsidRPr="009452A2">
              <w:rPr>
                <w:rFonts w:asciiTheme="majorHAnsi" w:eastAsia="Helvetica Neue" w:hAnsiTheme="majorHAnsi" w:cstheme="majorHAnsi"/>
                <w:bCs/>
                <w:color w:val="000000" w:themeColor="text1"/>
                <w:sz w:val="20"/>
                <w:szCs w:val="20"/>
              </w:rPr>
              <w:t>Nombre completo del programa académico</w:t>
            </w:r>
          </w:p>
        </w:tc>
        <w:tc>
          <w:tcPr>
            <w:tcW w:w="6096" w:type="dxa"/>
            <w:gridSpan w:val="2"/>
            <w:shd w:val="clear" w:color="auto" w:fill="auto"/>
            <w:vAlign w:val="center"/>
          </w:tcPr>
          <w:p w14:paraId="4934E53C" w14:textId="77777777" w:rsidR="00225C45" w:rsidRPr="009452A2" w:rsidRDefault="00225C45" w:rsidP="008F5B7B">
            <w:pPr>
              <w:tabs>
                <w:tab w:val="left" w:pos="6570"/>
              </w:tabs>
              <w:rPr>
                <w:rFonts w:asciiTheme="majorHAnsi" w:eastAsia="Helvetica Neue" w:hAnsiTheme="majorHAnsi" w:cstheme="majorHAnsi"/>
                <w:bCs/>
                <w:color w:val="000000" w:themeColor="text1"/>
                <w:sz w:val="20"/>
                <w:szCs w:val="20"/>
              </w:rPr>
            </w:pPr>
          </w:p>
        </w:tc>
      </w:tr>
    </w:tbl>
    <w:p w14:paraId="149F6F7B" w14:textId="77777777" w:rsidR="00225C45" w:rsidRPr="00FD5EA4" w:rsidRDefault="00225C45" w:rsidP="00225C45">
      <w:pPr>
        <w:tabs>
          <w:tab w:val="left" w:pos="6570"/>
        </w:tabs>
        <w:rPr>
          <w:rFonts w:asciiTheme="majorHAnsi" w:eastAsia="Helvetica Neue" w:hAnsiTheme="majorHAnsi" w:cstheme="majorHAnsi"/>
          <w:color w:val="404040"/>
          <w:sz w:val="20"/>
          <w:szCs w:val="20"/>
        </w:rPr>
      </w:pPr>
    </w:p>
    <w:p w14:paraId="43848A10" w14:textId="77777777" w:rsidR="00225C45" w:rsidRPr="00FD5EA4" w:rsidRDefault="00225C45" w:rsidP="00225C45">
      <w:pPr>
        <w:rPr>
          <w:rFonts w:asciiTheme="majorHAnsi" w:eastAsia="Helvetica Neue" w:hAnsiTheme="majorHAnsi" w:cstheme="majorHAnsi"/>
          <w:sz w:val="20"/>
          <w:szCs w:val="20"/>
        </w:rPr>
      </w:pPr>
    </w:p>
    <w:p w14:paraId="3841F5F9" w14:textId="2DF0B959" w:rsidR="00FD5EA4" w:rsidRPr="00244FC1" w:rsidRDefault="00FD5EA4" w:rsidP="00FD5EA4">
      <w:pPr>
        <w:spacing w:line="288" w:lineRule="auto"/>
        <w:ind w:left="-426"/>
        <w:jc w:val="both"/>
        <w:rPr>
          <w:rFonts w:asciiTheme="majorHAnsi" w:eastAsia="Helvetica Neue" w:hAnsiTheme="majorHAnsi" w:cstheme="majorHAnsi"/>
          <w:sz w:val="20"/>
          <w:szCs w:val="20"/>
        </w:rPr>
      </w:pPr>
      <w:r w:rsidRPr="00244FC1">
        <w:rPr>
          <w:rFonts w:asciiTheme="majorHAnsi" w:eastAsia="Helvetica Neue" w:hAnsiTheme="majorHAnsi" w:cstheme="majorHAnsi"/>
          <w:sz w:val="20"/>
          <w:szCs w:val="20"/>
        </w:rPr>
        <w:t>El reglamento debe ser expedido por la Institución y tendrá por objeto regular las relaciones que se establezcan entre la propia Institución y sus alumnos.</w:t>
      </w:r>
      <w:r w:rsidR="00470306">
        <w:rPr>
          <w:rFonts w:asciiTheme="majorHAnsi" w:eastAsia="Helvetica Neue" w:hAnsiTheme="majorHAnsi" w:cstheme="majorHAnsi"/>
          <w:sz w:val="20"/>
          <w:szCs w:val="20"/>
        </w:rPr>
        <w:t xml:space="preserve"> </w:t>
      </w:r>
      <w:r w:rsidR="00176E71">
        <w:rPr>
          <w:rFonts w:asciiTheme="majorHAnsi" w:eastAsia="Helvetica Neue" w:hAnsiTheme="majorHAnsi" w:cstheme="majorHAnsi"/>
          <w:sz w:val="20"/>
          <w:szCs w:val="20"/>
        </w:rPr>
        <w:t>I</w:t>
      </w:r>
      <w:r w:rsidRPr="00244FC1">
        <w:rPr>
          <w:rFonts w:asciiTheme="majorHAnsi" w:eastAsia="Helvetica Neue" w:hAnsiTheme="majorHAnsi" w:cstheme="majorHAnsi"/>
          <w:sz w:val="20"/>
          <w:szCs w:val="20"/>
        </w:rPr>
        <w:t>ncluir, al menos, los siguientes componentes en las cuartillas que sean necesarias.</w:t>
      </w:r>
    </w:p>
    <w:p w14:paraId="55862C1F" w14:textId="77777777" w:rsidR="00FD5EA4" w:rsidRPr="00244FC1" w:rsidRDefault="00FD5EA4" w:rsidP="00FD5EA4">
      <w:pPr>
        <w:spacing w:line="288" w:lineRule="auto"/>
        <w:ind w:left="-426"/>
        <w:jc w:val="both"/>
        <w:rPr>
          <w:rFonts w:asciiTheme="majorHAnsi" w:eastAsia="Helvetica Neue" w:hAnsiTheme="majorHAnsi" w:cstheme="majorHAnsi"/>
          <w:sz w:val="20"/>
          <w:szCs w:val="20"/>
        </w:rPr>
      </w:pPr>
    </w:p>
    <w:p w14:paraId="766E95EB" w14:textId="0394EBEF" w:rsidR="00817531" w:rsidRDefault="00AD5A71" w:rsidP="00FD5EA4">
      <w:pPr>
        <w:pStyle w:val="Prrafodelista"/>
        <w:numPr>
          <w:ilvl w:val="0"/>
          <w:numId w:val="6"/>
        </w:numPr>
        <w:pBdr>
          <w:top w:val="nil"/>
          <w:left w:val="nil"/>
          <w:bottom w:val="nil"/>
          <w:right w:val="nil"/>
          <w:between w:val="nil"/>
        </w:pBdr>
        <w:jc w:val="both"/>
        <w:rPr>
          <w:rFonts w:asciiTheme="majorHAnsi" w:eastAsia="Helvetica Neue" w:hAnsiTheme="majorHAnsi" w:cstheme="majorHAnsi"/>
          <w:b/>
          <w:bCs/>
          <w:i w:val="0"/>
        </w:rPr>
      </w:pPr>
      <w:r w:rsidRPr="00683455">
        <w:rPr>
          <w:rFonts w:asciiTheme="majorHAnsi" w:eastAsia="Helvetica Neue" w:hAnsiTheme="majorHAnsi" w:cstheme="majorHAnsi"/>
          <w:b/>
          <w:bCs/>
          <w:i w:val="0"/>
        </w:rPr>
        <w:t xml:space="preserve">Criterios de selección de </w:t>
      </w:r>
      <w:proofErr w:type="spellStart"/>
      <w:r w:rsidRPr="00683455">
        <w:rPr>
          <w:rFonts w:asciiTheme="majorHAnsi" w:eastAsia="Helvetica Neue" w:hAnsiTheme="majorHAnsi" w:cstheme="majorHAnsi"/>
          <w:b/>
          <w:bCs/>
          <w:i w:val="0"/>
        </w:rPr>
        <w:t>aspirtantes</w:t>
      </w:r>
      <w:proofErr w:type="spellEnd"/>
      <w:r w:rsidR="009F0DCC">
        <w:rPr>
          <w:rFonts w:asciiTheme="majorHAnsi" w:eastAsia="Helvetica Neue" w:hAnsiTheme="majorHAnsi" w:cstheme="majorHAnsi"/>
          <w:b/>
          <w:bCs/>
          <w:i w:val="0"/>
        </w:rPr>
        <w:t>. (LINEAMIENTOS NORMATIVOS DGESUM)</w:t>
      </w:r>
    </w:p>
    <w:p w14:paraId="03C84E69" w14:textId="60E78C26" w:rsidR="00557890" w:rsidRDefault="00557890" w:rsidP="00557890">
      <w:pPr>
        <w:pStyle w:val="Prrafodelista"/>
        <w:pBdr>
          <w:top w:val="nil"/>
          <w:left w:val="nil"/>
          <w:bottom w:val="nil"/>
          <w:right w:val="nil"/>
          <w:between w:val="nil"/>
        </w:pBdr>
        <w:spacing w:after="0"/>
        <w:ind w:left="360"/>
        <w:jc w:val="both"/>
        <w:rPr>
          <w:rFonts w:asciiTheme="majorHAnsi" w:eastAsia="Helvetica Neue" w:hAnsiTheme="majorHAnsi" w:cstheme="majorHAnsi"/>
          <w:i w:val="0"/>
        </w:rPr>
      </w:pPr>
      <w:r w:rsidRPr="00557890">
        <w:rPr>
          <w:rFonts w:asciiTheme="majorHAnsi" w:eastAsia="Helvetica Neue" w:hAnsiTheme="majorHAnsi" w:cstheme="majorHAnsi"/>
          <w:i w:val="0"/>
        </w:rPr>
        <w:t>Uno de los propósitos de la selección de aspirantes a cursar un programa educativo, es</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asegurar que éstos tengan mayor probabilidad de concluirlo, además de reducir la</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discrecionalidad en el proceso mediante la evaluación objetiva y sistemática del perfil de</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ingreso y con ello garantizar que el estudiante admitido cumpla con las exigencias</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académicas para cursar de manera satisfactoria un programa de posgrado. Para este fin es necesario definir conceptual y operacionalmente cada uno los rasgos que</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conforman el perfil de ingreso, incluir la descripción pormenorizada del proceso de</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 xml:space="preserve">selección, sus métodos, procedimientos, criterios, indicadores e instrumentos. </w:t>
      </w:r>
    </w:p>
    <w:p w14:paraId="3674B61C" w14:textId="77777777" w:rsidR="00557890" w:rsidRPr="00557890" w:rsidRDefault="00557890" w:rsidP="00557890">
      <w:pPr>
        <w:pStyle w:val="Prrafodelista"/>
        <w:pBdr>
          <w:top w:val="nil"/>
          <w:left w:val="nil"/>
          <w:bottom w:val="nil"/>
          <w:right w:val="nil"/>
          <w:between w:val="nil"/>
        </w:pBdr>
        <w:spacing w:after="0"/>
        <w:ind w:left="360"/>
        <w:jc w:val="both"/>
        <w:rPr>
          <w:rFonts w:asciiTheme="majorHAnsi" w:eastAsia="Helvetica Neue" w:hAnsiTheme="majorHAnsi" w:cstheme="majorHAnsi"/>
          <w:i w:val="0"/>
        </w:rPr>
      </w:pPr>
      <w:r w:rsidRPr="00557890">
        <w:rPr>
          <w:rFonts w:asciiTheme="majorHAnsi" w:eastAsia="Helvetica Neue" w:hAnsiTheme="majorHAnsi" w:cstheme="majorHAnsi"/>
          <w:i w:val="0"/>
        </w:rPr>
        <w:t xml:space="preserve">Algunos instrumentos útiles para el proceso de selección pueden ser: </w:t>
      </w:r>
    </w:p>
    <w:p w14:paraId="0F1E4C8E" w14:textId="71CB9B47" w:rsidR="00557890" w:rsidRDefault="00557890" w:rsidP="00557890">
      <w:pPr>
        <w:pStyle w:val="Prrafodelista"/>
        <w:numPr>
          <w:ilvl w:val="0"/>
          <w:numId w:val="7"/>
        </w:numPr>
        <w:pBdr>
          <w:top w:val="nil"/>
          <w:left w:val="nil"/>
          <w:bottom w:val="nil"/>
          <w:right w:val="nil"/>
          <w:between w:val="nil"/>
        </w:pBdr>
        <w:ind w:left="1418" w:hanging="142"/>
        <w:jc w:val="both"/>
        <w:rPr>
          <w:rFonts w:asciiTheme="majorHAnsi" w:eastAsia="Helvetica Neue" w:hAnsiTheme="majorHAnsi" w:cstheme="majorHAnsi"/>
          <w:i w:val="0"/>
        </w:rPr>
      </w:pP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Promedio mínimo de 8 o equivalente.</w:t>
      </w:r>
    </w:p>
    <w:p w14:paraId="76626544" w14:textId="186B91F8" w:rsidR="00557890" w:rsidRPr="00557890" w:rsidRDefault="00557890" w:rsidP="00557890">
      <w:pPr>
        <w:pStyle w:val="Prrafodelista"/>
        <w:numPr>
          <w:ilvl w:val="0"/>
          <w:numId w:val="7"/>
        </w:numPr>
        <w:pBdr>
          <w:top w:val="nil"/>
          <w:left w:val="nil"/>
          <w:bottom w:val="nil"/>
          <w:right w:val="nil"/>
          <w:between w:val="nil"/>
        </w:pBdr>
        <w:ind w:left="1418" w:hanging="142"/>
        <w:jc w:val="both"/>
        <w:rPr>
          <w:rFonts w:asciiTheme="majorHAnsi" w:eastAsia="Helvetica Neue" w:hAnsiTheme="majorHAnsi" w:cstheme="majorHAnsi"/>
          <w:i w:val="0"/>
          <w:iCs w:val="0"/>
        </w:rPr>
      </w:pPr>
      <w:r>
        <w:rPr>
          <w:rFonts w:asciiTheme="majorHAnsi" w:eastAsia="Helvetica Neue" w:hAnsiTheme="majorHAnsi" w:cstheme="majorHAnsi"/>
          <w:i w:val="0"/>
        </w:rPr>
        <w:t xml:space="preserve"> </w:t>
      </w:r>
      <w:r w:rsidRPr="00557890">
        <w:rPr>
          <w:rFonts w:asciiTheme="majorHAnsi" w:eastAsia="Helvetica Neue" w:hAnsiTheme="majorHAnsi" w:cstheme="majorHAnsi"/>
          <w:i w:val="0"/>
          <w:iCs w:val="0"/>
        </w:rPr>
        <w:t>Examen de admisión que permita medir conocimientos y habilidades, elaborado por una institución de educación superior u otra instancia competente facultada para realizarlo, y/o la aplicación de instrumentos estandarizados, como el EXANI-III diseñado por el Centro Nacional de Evaluación de la Educación Superior, A. C. (CENEVAL), siempre y cuando no sea el único instrumento empleado. Esto tiene sentido sí se considera que los rasgos del perfil de ingreso a evaluar en los aspirantes son particulares para cada programa de posgrado. Esto tiene sentido sí</w:t>
      </w:r>
    </w:p>
    <w:p w14:paraId="3458AD4C" w14:textId="77777777" w:rsidR="00557890" w:rsidRDefault="00557890" w:rsidP="00557890">
      <w:pPr>
        <w:pStyle w:val="Prrafodelista"/>
        <w:pBdr>
          <w:top w:val="nil"/>
          <w:left w:val="nil"/>
          <w:bottom w:val="nil"/>
          <w:right w:val="nil"/>
          <w:between w:val="nil"/>
        </w:pBdr>
        <w:ind w:left="1440"/>
        <w:jc w:val="both"/>
        <w:rPr>
          <w:rFonts w:asciiTheme="majorHAnsi" w:eastAsia="Helvetica Neue" w:hAnsiTheme="majorHAnsi" w:cstheme="majorHAnsi"/>
          <w:i w:val="0"/>
        </w:rPr>
      </w:pPr>
      <w:r w:rsidRPr="00557890">
        <w:rPr>
          <w:rFonts w:asciiTheme="majorHAnsi" w:eastAsia="Helvetica Neue" w:hAnsiTheme="majorHAnsi" w:cstheme="majorHAnsi"/>
          <w:i w:val="0"/>
          <w:iCs w:val="0"/>
        </w:rPr>
        <w:t>se considera que los rasgos del perfil de ingreso a evaluar en los aspirantes son</w:t>
      </w:r>
      <w:r>
        <w:rPr>
          <w:rFonts w:asciiTheme="majorHAnsi" w:eastAsia="Helvetica Neue" w:hAnsiTheme="majorHAnsi" w:cstheme="majorHAnsi"/>
          <w:i w:val="0"/>
          <w:iCs w:val="0"/>
        </w:rPr>
        <w:t xml:space="preserve"> </w:t>
      </w:r>
      <w:r w:rsidRPr="00557890">
        <w:rPr>
          <w:rFonts w:asciiTheme="majorHAnsi" w:eastAsia="Helvetica Neue" w:hAnsiTheme="majorHAnsi" w:cstheme="majorHAnsi"/>
          <w:i w:val="0"/>
          <w:iCs w:val="0"/>
        </w:rPr>
        <w:t>particulares para cada programa de posgrado sustentante, así como las</w:t>
      </w:r>
      <w:r>
        <w:rPr>
          <w:rFonts w:asciiTheme="majorHAnsi" w:eastAsia="Helvetica Neue" w:hAnsiTheme="majorHAnsi" w:cstheme="majorHAnsi"/>
          <w:i w:val="0"/>
          <w:iCs w:val="0"/>
        </w:rPr>
        <w:t xml:space="preserve"> </w:t>
      </w:r>
      <w:r w:rsidRPr="00557890">
        <w:rPr>
          <w:rFonts w:asciiTheme="majorHAnsi" w:eastAsia="Helvetica Neue" w:hAnsiTheme="majorHAnsi" w:cstheme="majorHAnsi"/>
          <w:i w:val="0"/>
          <w:iCs w:val="0"/>
        </w:rPr>
        <w:t>competencias del aspirante en el uso de información, tanto en idioma español como</w:t>
      </w:r>
      <w:r>
        <w:rPr>
          <w:rFonts w:asciiTheme="majorHAnsi" w:eastAsia="Helvetica Neue" w:hAnsiTheme="majorHAnsi" w:cstheme="majorHAnsi"/>
          <w:i w:val="0"/>
          <w:iCs w:val="0"/>
        </w:rPr>
        <w:t xml:space="preserve"> </w:t>
      </w:r>
      <w:r w:rsidRPr="00557890">
        <w:rPr>
          <w:rFonts w:asciiTheme="majorHAnsi" w:eastAsia="Helvetica Neue" w:hAnsiTheme="majorHAnsi" w:cstheme="majorHAnsi"/>
          <w:i w:val="0"/>
        </w:rPr>
        <w:t xml:space="preserve">en inglés. </w:t>
      </w:r>
    </w:p>
    <w:p w14:paraId="70B5C469" w14:textId="5037DD3B" w:rsidR="00557890" w:rsidRPr="00557890" w:rsidRDefault="00557890" w:rsidP="00557890">
      <w:pPr>
        <w:pStyle w:val="Prrafodelista"/>
        <w:pBdr>
          <w:top w:val="nil"/>
          <w:left w:val="nil"/>
          <w:bottom w:val="nil"/>
          <w:right w:val="nil"/>
          <w:between w:val="nil"/>
        </w:pBdr>
        <w:ind w:left="1440" w:hanging="164"/>
        <w:jc w:val="both"/>
        <w:rPr>
          <w:rFonts w:asciiTheme="majorHAnsi" w:eastAsia="Helvetica Neue" w:hAnsiTheme="majorHAnsi" w:cstheme="majorHAnsi"/>
          <w:i w:val="0"/>
        </w:rPr>
      </w:pPr>
      <w:r w:rsidRPr="00557890">
        <w:rPr>
          <w:rFonts w:asciiTheme="majorHAnsi" w:eastAsia="Helvetica Neue" w:hAnsiTheme="majorHAnsi" w:cstheme="majorHAnsi"/>
          <w:i w:val="0"/>
        </w:rPr>
        <w:t>c. Carta de exposición de motivos para cursar el programa—conocer valores y otros</w:t>
      </w:r>
      <w:r>
        <w:rPr>
          <w:rFonts w:asciiTheme="majorHAnsi" w:eastAsia="Helvetica Neue" w:hAnsiTheme="majorHAnsi" w:cstheme="majorHAnsi"/>
          <w:i w:val="0"/>
        </w:rPr>
        <w:t xml:space="preserve"> </w:t>
      </w:r>
      <w:r w:rsidRPr="00557890">
        <w:rPr>
          <w:rFonts w:asciiTheme="majorHAnsi" w:eastAsia="Helvetica Neue" w:hAnsiTheme="majorHAnsi" w:cstheme="majorHAnsi"/>
          <w:i w:val="0"/>
        </w:rPr>
        <w:t xml:space="preserve">aspectos de difícil cuantificación; </w:t>
      </w:r>
    </w:p>
    <w:p w14:paraId="083CE111" w14:textId="77777777" w:rsidR="00557890" w:rsidRPr="00557890" w:rsidRDefault="00557890" w:rsidP="00557890">
      <w:pPr>
        <w:pStyle w:val="Prrafodelista"/>
        <w:pBdr>
          <w:top w:val="nil"/>
          <w:left w:val="nil"/>
          <w:bottom w:val="nil"/>
          <w:right w:val="nil"/>
          <w:between w:val="nil"/>
        </w:pBdr>
        <w:ind w:left="1440"/>
        <w:jc w:val="both"/>
        <w:rPr>
          <w:rFonts w:asciiTheme="majorHAnsi" w:eastAsia="Helvetica Neue" w:hAnsiTheme="majorHAnsi" w:cstheme="majorHAnsi"/>
          <w:i w:val="0"/>
        </w:rPr>
      </w:pPr>
      <w:r w:rsidRPr="00557890">
        <w:rPr>
          <w:rFonts w:asciiTheme="majorHAnsi" w:eastAsia="Helvetica Neue" w:hAnsiTheme="majorHAnsi" w:cstheme="majorHAnsi"/>
          <w:i w:val="0"/>
        </w:rPr>
        <w:t>d. Currículum vitae—conocer aspectos personales y académicos;</w:t>
      </w:r>
    </w:p>
    <w:p w14:paraId="7A6C75ED" w14:textId="5F45BB1D" w:rsidR="00557890" w:rsidRPr="00557890" w:rsidRDefault="00557890" w:rsidP="00557890">
      <w:pPr>
        <w:pStyle w:val="Prrafodelista"/>
        <w:pBdr>
          <w:top w:val="nil"/>
          <w:left w:val="nil"/>
          <w:bottom w:val="nil"/>
          <w:right w:val="nil"/>
          <w:between w:val="nil"/>
        </w:pBdr>
        <w:ind w:left="1440"/>
        <w:jc w:val="both"/>
        <w:rPr>
          <w:rFonts w:asciiTheme="majorHAnsi" w:eastAsia="Helvetica Neue" w:hAnsiTheme="majorHAnsi" w:cstheme="majorHAnsi"/>
          <w:i w:val="0"/>
        </w:rPr>
      </w:pPr>
      <w:r w:rsidRPr="00557890">
        <w:rPr>
          <w:rFonts w:asciiTheme="majorHAnsi" w:eastAsia="Helvetica Neue" w:hAnsiTheme="majorHAnsi" w:cstheme="majorHAnsi"/>
          <w:i w:val="0"/>
        </w:rPr>
        <w:t>e. Acreditar curso propedéutico de al menos 40 horas con calificación mínima de ocho;</w:t>
      </w:r>
    </w:p>
    <w:p w14:paraId="2989075D" w14:textId="35AD1DEE" w:rsidR="00557890" w:rsidRPr="00557890" w:rsidRDefault="00557890" w:rsidP="00557890">
      <w:pPr>
        <w:pStyle w:val="Prrafodelista"/>
        <w:pBdr>
          <w:top w:val="nil"/>
          <w:left w:val="nil"/>
          <w:bottom w:val="nil"/>
          <w:right w:val="nil"/>
          <w:between w:val="nil"/>
        </w:pBdr>
        <w:ind w:left="1440"/>
        <w:jc w:val="both"/>
        <w:rPr>
          <w:rFonts w:asciiTheme="majorHAnsi" w:eastAsia="Helvetica Neue" w:hAnsiTheme="majorHAnsi" w:cstheme="majorHAnsi"/>
          <w:i w:val="0"/>
        </w:rPr>
      </w:pPr>
      <w:r w:rsidRPr="00557890">
        <w:rPr>
          <w:rFonts w:asciiTheme="majorHAnsi" w:eastAsia="Helvetica Neue" w:hAnsiTheme="majorHAnsi" w:cstheme="majorHAnsi"/>
          <w:i w:val="0"/>
        </w:rPr>
        <w:t xml:space="preserve">f. </w:t>
      </w:r>
      <w:r w:rsidR="00BD57E5">
        <w:rPr>
          <w:rFonts w:asciiTheme="majorHAnsi" w:eastAsia="Helvetica Neue" w:hAnsiTheme="majorHAnsi" w:cstheme="majorHAnsi"/>
          <w:i w:val="0"/>
        </w:rPr>
        <w:t xml:space="preserve"> </w:t>
      </w:r>
      <w:r w:rsidRPr="00557890">
        <w:rPr>
          <w:rFonts w:asciiTheme="majorHAnsi" w:eastAsia="Helvetica Neue" w:hAnsiTheme="majorHAnsi" w:cstheme="majorHAnsi"/>
          <w:i w:val="0"/>
        </w:rPr>
        <w:t>Presentar un anteproyecto de investigación o ensayo académico (10 cuartillas mínimo).</w:t>
      </w:r>
    </w:p>
    <w:p w14:paraId="71770115" w14:textId="08EC39BB" w:rsidR="00557890" w:rsidRDefault="00557890" w:rsidP="00557890">
      <w:pPr>
        <w:pStyle w:val="Prrafodelista"/>
        <w:pBdr>
          <w:top w:val="nil"/>
          <w:left w:val="nil"/>
          <w:bottom w:val="nil"/>
          <w:right w:val="nil"/>
          <w:between w:val="nil"/>
        </w:pBdr>
        <w:ind w:left="1440"/>
        <w:jc w:val="both"/>
        <w:rPr>
          <w:rFonts w:asciiTheme="majorHAnsi" w:eastAsia="Helvetica Neue" w:hAnsiTheme="majorHAnsi" w:cstheme="majorHAnsi"/>
          <w:i w:val="0"/>
        </w:rPr>
      </w:pPr>
      <w:r w:rsidRPr="00557890">
        <w:rPr>
          <w:rFonts w:asciiTheme="majorHAnsi" w:eastAsia="Helvetica Neue" w:hAnsiTheme="majorHAnsi" w:cstheme="majorHAnsi"/>
          <w:i w:val="0"/>
        </w:rPr>
        <w:t>g. Entrevista personal del comité de nuevo ingreso con el aspirante.</w:t>
      </w:r>
    </w:p>
    <w:p w14:paraId="5306AD71" w14:textId="32A87304" w:rsidR="00BD57E5" w:rsidRDefault="00BD57E5" w:rsidP="00BD57E5">
      <w:pPr>
        <w:pStyle w:val="Prrafodelista"/>
        <w:pBdr>
          <w:top w:val="nil"/>
          <w:left w:val="nil"/>
          <w:bottom w:val="nil"/>
          <w:right w:val="nil"/>
          <w:between w:val="nil"/>
        </w:pBdr>
        <w:ind w:left="1440"/>
        <w:jc w:val="both"/>
        <w:rPr>
          <w:rFonts w:asciiTheme="majorHAnsi" w:eastAsia="Helvetica Neue" w:hAnsiTheme="majorHAnsi" w:cstheme="majorHAnsi"/>
          <w:i w:val="0"/>
          <w:iCs w:val="0"/>
          <w:lang w:val="es-MX"/>
        </w:rPr>
      </w:pPr>
      <w:r>
        <w:rPr>
          <w:rFonts w:asciiTheme="majorHAnsi" w:eastAsia="Helvetica Neue" w:hAnsiTheme="majorHAnsi" w:cstheme="majorHAnsi"/>
          <w:i w:val="0"/>
          <w:iCs w:val="0"/>
          <w:lang w:val="es-MX"/>
        </w:rPr>
        <w:lastRenderedPageBreak/>
        <w:t xml:space="preserve">h. </w:t>
      </w:r>
      <w:r w:rsidRPr="00BD57E5">
        <w:rPr>
          <w:rFonts w:asciiTheme="majorHAnsi" w:eastAsia="Helvetica Neue" w:hAnsiTheme="majorHAnsi" w:cstheme="majorHAnsi"/>
          <w:i w:val="0"/>
          <w:iCs w:val="0"/>
          <w:lang w:val="es-MX"/>
        </w:rPr>
        <w:t>Es recomendable aplicar algún instrumento que valore las habilidades de trabajo en</w:t>
      </w:r>
      <w:r w:rsidR="000C0607">
        <w:rPr>
          <w:rFonts w:asciiTheme="majorHAnsi" w:eastAsia="Helvetica Neue" w:hAnsiTheme="majorHAnsi" w:cstheme="majorHAnsi"/>
          <w:i w:val="0"/>
          <w:iCs w:val="0"/>
          <w:lang w:val="es-MX"/>
        </w:rPr>
        <w:t xml:space="preserve"> </w:t>
      </w:r>
      <w:r w:rsidRPr="000C0607">
        <w:rPr>
          <w:rFonts w:asciiTheme="majorHAnsi" w:eastAsia="Helvetica Neue" w:hAnsiTheme="majorHAnsi" w:cstheme="majorHAnsi"/>
          <w:i w:val="0"/>
          <w:iCs w:val="0"/>
          <w:lang w:val="es-MX"/>
        </w:rPr>
        <w:t>equipo y empatía social, lo que permitirá potenciar el alcance del plan de estudios</w:t>
      </w:r>
      <w:r w:rsidR="000C0607">
        <w:rPr>
          <w:rFonts w:asciiTheme="majorHAnsi" w:eastAsia="Helvetica Neue" w:hAnsiTheme="majorHAnsi" w:cstheme="majorHAnsi"/>
          <w:i w:val="0"/>
          <w:iCs w:val="0"/>
          <w:lang w:val="es-MX"/>
        </w:rPr>
        <w:t xml:space="preserve"> </w:t>
      </w:r>
      <w:r w:rsidRPr="00BD57E5">
        <w:rPr>
          <w:rFonts w:asciiTheme="majorHAnsi" w:eastAsia="Helvetica Neue" w:hAnsiTheme="majorHAnsi" w:cstheme="majorHAnsi"/>
          <w:i w:val="0"/>
          <w:iCs w:val="0"/>
          <w:lang w:val="es-MX"/>
        </w:rPr>
        <w:t xml:space="preserve">por medio de la configuración de comunidades de aprendizaje. </w:t>
      </w:r>
    </w:p>
    <w:p w14:paraId="77DD15C3" w14:textId="35596478" w:rsidR="00BD57E5" w:rsidRPr="00BD57E5" w:rsidRDefault="00BD57E5" w:rsidP="00BD57E5">
      <w:pPr>
        <w:pStyle w:val="Prrafodelista"/>
        <w:pBdr>
          <w:top w:val="nil"/>
          <w:left w:val="nil"/>
          <w:bottom w:val="nil"/>
          <w:right w:val="nil"/>
          <w:between w:val="nil"/>
        </w:pBdr>
        <w:ind w:left="1440"/>
        <w:jc w:val="both"/>
        <w:rPr>
          <w:rFonts w:asciiTheme="majorHAnsi" w:eastAsia="Helvetica Neue" w:hAnsiTheme="majorHAnsi" w:cstheme="majorHAnsi"/>
          <w:i w:val="0"/>
          <w:iCs w:val="0"/>
        </w:rPr>
      </w:pPr>
      <w:proofErr w:type="spellStart"/>
      <w:r>
        <w:rPr>
          <w:rFonts w:asciiTheme="majorHAnsi" w:eastAsia="Helvetica Neue" w:hAnsiTheme="majorHAnsi" w:cstheme="majorHAnsi"/>
          <w:i w:val="0"/>
          <w:iCs w:val="0"/>
          <w:lang w:val="es-MX"/>
        </w:rPr>
        <w:t>i.</w:t>
      </w:r>
      <w:r w:rsidRPr="00BD57E5">
        <w:rPr>
          <w:rFonts w:asciiTheme="majorHAnsi" w:eastAsia="Helvetica Neue" w:hAnsiTheme="majorHAnsi" w:cstheme="majorHAnsi"/>
          <w:i w:val="0"/>
          <w:iCs w:val="0"/>
          <w:lang w:val="es-MX"/>
        </w:rPr>
        <w:t>Con</w:t>
      </w:r>
      <w:proofErr w:type="spellEnd"/>
      <w:r w:rsidRPr="00BD57E5">
        <w:rPr>
          <w:rFonts w:asciiTheme="majorHAnsi" w:eastAsia="Helvetica Neue" w:hAnsiTheme="majorHAnsi" w:cstheme="majorHAnsi"/>
          <w:i w:val="0"/>
          <w:iCs w:val="0"/>
          <w:lang w:val="es-MX"/>
        </w:rPr>
        <w:t xml:space="preserve"> el fin de evitar discrecionalidad en la selección de aspirantes, los procedimientos</w:t>
      </w:r>
      <w:r w:rsidR="000C0607">
        <w:rPr>
          <w:rFonts w:asciiTheme="majorHAnsi" w:eastAsia="Helvetica Neue" w:hAnsiTheme="majorHAnsi" w:cstheme="majorHAnsi"/>
          <w:i w:val="0"/>
          <w:iCs w:val="0"/>
          <w:lang w:val="es-MX"/>
        </w:rPr>
        <w:t xml:space="preserve"> </w:t>
      </w:r>
      <w:r w:rsidRPr="000C0607">
        <w:rPr>
          <w:rFonts w:asciiTheme="majorHAnsi" w:eastAsia="Helvetica Neue" w:hAnsiTheme="majorHAnsi" w:cstheme="majorHAnsi"/>
          <w:i w:val="0"/>
          <w:iCs w:val="0"/>
          <w:lang w:val="es-MX"/>
        </w:rPr>
        <w:t>y criterios, para la evaluación, deberán ser avalados por un comité, reglamentado en</w:t>
      </w:r>
      <w:r w:rsidR="000C0607">
        <w:rPr>
          <w:rFonts w:asciiTheme="majorHAnsi" w:eastAsia="Helvetica Neue" w:hAnsiTheme="majorHAnsi" w:cstheme="majorHAnsi"/>
          <w:i w:val="0"/>
          <w:iCs w:val="0"/>
          <w:lang w:val="es-MX"/>
        </w:rPr>
        <w:t xml:space="preserve"> </w:t>
      </w:r>
      <w:r w:rsidRPr="00BD57E5">
        <w:rPr>
          <w:rFonts w:asciiTheme="majorHAnsi" w:eastAsia="Helvetica Neue" w:hAnsiTheme="majorHAnsi" w:cstheme="majorHAnsi"/>
          <w:i w:val="0"/>
          <w:iCs w:val="0"/>
          <w:lang w:val="es-MX"/>
        </w:rPr>
        <w:t>el marco normativo del posgrado.</w:t>
      </w:r>
    </w:p>
    <w:p w14:paraId="41C2FD71" w14:textId="2E265AA1" w:rsidR="00817531" w:rsidRDefault="00817531" w:rsidP="00817531">
      <w:pPr>
        <w:pStyle w:val="Prrafodelista"/>
        <w:numPr>
          <w:ilvl w:val="0"/>
          <w:numId w:val="6"/>
        </w:numPr>
        <w:pBdr>
          <w:top w:val="nil"/>
          <w:left w:val="nil"/>
          <w:bottom w:val="nil"/>
          <w:right w:val="nil"/>
          <w:between w:val="nil"/>
        </w:pBdr>
        <w:spacing w:after="0"/>
        <w:jc w:val="both"/>
        <w:rPr>
          <w:rFonts w:asciiTheme="majorHAnsi" w:eastAsia="Helvetica Neue" w:hAnsiTheme="majorHAnsi" w:cstheme="majorHAnsi"/>
          <w:b/>
          <w:bCs/>
          <w:i w:val="0"/>
        </w:rPr>
      </w:pPr>
      <w:r>
        <w:rPr>
          <w:rFonts w:asciiTheme="majorHAnsi" w:eastAsia="Helvetica Neue" w:hAnsiTheme="majorHAnsi" w:cstheme="majorHAnsi"/>
          <w:b/>
          <w:bCs/>
          <w:i w:val="0"/>
        </w:rPr>
        <w:t>R</w:t>
      </w:r>
      <w:r w:rsidRPr="00683455">
        <w:rPr>
          <w:rFonts w:asciiTheme="majorHAnsi" w:eastAsia="Helvetica Neue" w:hAnsiTheme="majorHAnsi" w:cstheme="majorHAnsi"/>
          <w:b/>
          <w:bCs/>
          <w:i w:val="0"/>
        </w:rPr>
        <w:t>equisitos de ingreso</w:t>
      </w:r>
      <w:r>
        <w:rPr>
          <w:rFonts w:asciiTheme="majorHAnsi" w:eastAsia="Helvetica Neue" w:hAnsiTheme="majorHAnsi" w:cstheme="majorHAnsi"/>
          <w:b/>
          <w:bCs/>
          <w:i w:val="0"/>
        </w:rPr>
        <w:t>.</w:t>
      </w:r>
      <w:r w:rsidR="009F0DCC" w:rsidRPr="009F0DCC">
        <w:rPr>
          <w:rFonts w:asciiTheme="majorHAnsi" w:eastAsia="Helvetica Neue" w:hAnsiTheme="majorHAnsi" w:cstheme="majorHAnsi"/>
          <w:b/>
          <w:bCs/>
          <w:i w:val="0"/>
        </w:rPr>
        <w:t xml:space="preserve"> </w:t>
      </w:r>
      <w:r w:rsidR="009F0DCC">
        <w:rPr>
          <w:rFonts w:asciiTheme="majorHAnsi" w:eastAsia="Helvetica Neue" w:hAnsiTheme="majorHAnsi" w:cstheme="majorHAnsi"/>
          <w:b/>
          <w:bCs/>
          <w:i w:val="0"/>
        </w:rPr>
        <w:t>(LINEAMIENTOS NORMATIVOS DGESUM)</w:t>
      </w:r>
    </w:p>
    <w:p w14:paraId="6C687EBD" w14:textId="36BA47A6" w:rsidR="00817531" w:rsidRPr="00817531" w:rsidRDefault="00817531" w:rsidP="00817531">
      <w:pPr>
        <w:autoSpaceDE w:val="0"/>
        <w:autoSpaceDN w:val="0"/>
        <w:adjustRightInd w:val="0"/>
        <w:jc w:val="both"/>
        <w:rPr>
          <w:rFonts w:asciiTheme="majorHAnsi" w:eastAsia="Helvetica Neue" w:hAnsiTheme="majorHAnsi" w:cstheme="majorHAnsi"/>
          <w:iCs/>
          <w:sz w:val="20"/>
          <w:szCs w:val="20"/>
          <w:lang w:eastAsia="en-US"/>
        </w:rPr>
      </w:pPr>
      <w:r w:rsidRPr="00817531">
        <w:rPr>
          <w:rFonts w:asciiTheme="majorHAnsi" w:eastAsia="Helvetica Neue" w:hAnsiTheme="majorHAnsi" w:cstheme="majorHAnsi"/>
          <w:iCs/>
          <w:sz w:val="20"/>
          <w:szCs w:val="20"/>
          <w:lang w:eastAsia="en-US"/>
        </w:rPr>
        <w:t>Los requisitos de ingreso serán de dos tipos: administrativos y académicos. Los primeros se</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refieren a todos aquellos documentos que conforman el expediente personal del aspirante</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admitido y que acreditan su identidad, como la solicitud de admisión, el acta de nacimiento,</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CURP, Credencial del INE, contar con el título del nivel de estudios antecedente, fotografías,</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entre otros. Los requisitos de tipo académico son aquellos documentos que avalan y</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evidencian la trayectoria académica del aspirante; estos serán consistentes con los rasgos</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del perfil de ingreso, acordes con el objetivo, nivel y la orientación del programa de posgrado.</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Por ejemplo, contar con cédula profesional y título del nivel de estudios antecedente,</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dominar en algún grado las cuatro competencias básicas de un idioma distinto al materno,</w:t>
      </w:r>
      <w:r>
        <w:rPr>
          <w:rFonts w:asciiTheme="majorHAnsi" w:eastAsia="Helvetica Neue" w:hAnsiTheme="majorHAnsi" w:cstheme="majorHAnsi"/>
          <w:iCs/>
          <w:sz w:val="20"/>
          <w:szCs w:val="20"/>
          <w:lang w:eastAsia="en-US"/>
        </w:rPr>
        <w:t xml:space="preserve"> </w:t>
      </w:r>
      <w:r w:rsidRPr="00817531">
        <w:rPr>
          <w:rFonts w:asciiTheme="majorHAnsi" w:eastAsia="Helvetica Neue" w:hAnsiTheme="majorHAnsi" w:cstheme="majorHAnsi"/>
          <w:iCs/>
          <w:sz w:val="20"/>
          <w:szCs w:val="20"/>
          <w:lang w:eastAsia="en-US"/>
        </w:rPr>
        <w:t xml:space="preserve">publicaciones académicas, promedio de estudios anteriores, entre otros. </w:t>
      </w:r>
    </w:p>
    <w:p w14:paraId="6895BB33" w14:textId="77777777" w:rsidR="00817531" w:rsidRPr="00817531" w:rsidRDefault="00817531" w:rsidP="00817531">
      <w:pPr>
        <w:pStyle w:val="Prrafodelista"/>
        <w:pBdr>
          <w:top w:val="nil"/>
          <w:left w:val="nil"/>
          <w:bottom w:val="nil"/>
          <w:right w:val="nil"/>
          <w:between w:val="nil"/>
        </w:pBdr>
        <w:spacing w:line="240" w:lineRule="auto"/>
        <w:ind w:left="360"/>
        <w:jc w:val="both"/>
        <w:rPr>
          <w:rFonts w:asciiTheme="majorHAnsi" w:eastAsia="Helvetica Neue" w:hAnsiTheme="majorHAnsi" w:cstheme="majorHAnsi"/>
          <w:i w:val="0"/>
        </w:rPr>
      </w:pPr>
    </w:p>
    <w:p w14:paraId="443506C2" w14:textId="61C18EF3" w:rsidR="009F0DCC" w:rsidRDefault="009F0DCC" w:rsidP="00507067">
      <w:pPr>
        <w:pStyle w:val="Prrafodelista"/>
        <w:numPr>
          <w:ilvl w:val="0"/>
          <w:numId w:val="6"/>
        </w:numPr>
        <w:pBdr>
          <w:top w:val="nil"/>
          <w:left w:val="nil"/>
          <w:bottom w:val="nil"/>
          <w:right w:val="nil"/>
          <w:between w:val="nil"/>
        </w:pBdr>
        <w:spacing w:after="0"/>
        <w:jc w:val="both"/>
        <w:rPr>
          <w:rFonts w:asciiTheme="majorHAnsi" w:eastAsia="Helvetica Neue" w:hAnsiTheme="majorHAnsi" w:cstheme="majorHAnsi"/>
          <w:b/>
          <w:bCs/>
          <w:i w:val="0"/>
        </w:rPr>
      </w:pPr>
      <w:r>
        <w:rPr>
          <w:rFonts w:asciiTheme="majorHAnsi" w:eastAsia="Helvetica Neue" w:hAnsiTheme="majorHAnsi" w:cstheme="majorHAnsi"/>
          <w:b/>
          <w:bCs/>
          <w:i w:val="0"/>
        </w:rPr>
        <w:t>C</w:t>
      </w:r>
      <w:r w:rsidR="00817531" w:rsidRPr="00683455">
        <w:rPr>
          <w:rFonts w:asciiTheme="majorHAnsi" w:eastAsia="Helvetica Neue" w:hAnsiTheme="majorHAnsi" w:cstheme="majorHAnsi"/>
          <w:b/>
          <w:bCs/>
          <w:i w:val="0"/>
        </w:rPr>
        <w:t xml:space="preserve">urso </w:t>
      </w:r>
      <w:r>
        <w:rPr>
          <w:rFonts w:asciiTheme="majorHAnsi" w:eastAsia="Helvetica Neue" w:hAnsiTheme="majorHAnsi" w:cstheme="majorHAnsi"/>
          <w:b/>
          <w:bCs/>
          <w:i w:val="0"/>
        </w:rPr>
        <w:t>P</w:t>
      </w:r>
      <w:r w:rsidR="00817531" w:rsidRPr="00683455">
        <w:rPr>
          <w:rFonts w:asciiTheme="majorHAnsi" w:eastAsia="Helvetica Neue" w:hAnsiTheme="majorHAnsi" w:cstheme="majorHAnsi"/>
          <w:b/>
          <w:bCs/>
          <w:i w:val="0"/>
        </w:rPr>
        <w:t>ropedéutico</w:t>
      </w:r>
      <w:r>
        <w:rPr>
          <w:rFonts w:asciiTheme="majorHAnsi" w:eastAsia="Helvetica Neue" w:hAnsiTheme="majorHAnsi" w:cstheme="majorHAnsi"/>
          <w:b/>
          <w:bCs/>
          <w:i w:val="0"/>
        </w:rPr>
        <w:t>.</w:t>
      </w:r>
      <w:r w:rsidR="00817531">
        <w:rPr>
          <w:rFonts w:asciiTheme="majorHAnsi" w:eastAsia="Helvetica Neue" w:hAnsiTheme="majorHAnsi" w:cstheme="majorHAnsi"/>
          <w:b/>
          <w:bCs/>
          <w:i w:val="0"/>
        </w:rPr>
        <w:t xml:space="preserve"> </w:t>
      </w:r>
      <w:r>
        <w:rPr>
          <w:rFonts w:asciiTheme="majorHAnsi" w:eastAsia="Helvetica Neue" w:hAnsiTheme="majorHAnsi" w:cstheme="majorHAnsi"/>
          <w:b/>
          <w:bCs/>
          <w:i w:val="0"/>
        </w:rPr>
        <w:t>(LINEAMIENTOS NORMATIVOS DGESUM)</w:t>
      </w:r>
    </w:p>
    <w:p w14:paraId="75DD9289" w14:textId="0DC64586" w:rsidR="004400DA" w:rsidRPr="004400DA" w:rsidRDefault="004400DA" w:rsidP="00507067">
      <w:pPr>
        <w:autoSpaceDE w:val="0"/>
        <w:autoSpaceDN w:val="0"/>
        <w:adjustRightInd w:val="0"/>
        <w:jc w:val="both"/>
        <w:rPr>
          <w:rFonts w:asciiTheme="majorHAnsi" w:eastAsia="Helvetica Neue" w:hAnsiTheme="majorHAnsi" w:cstheme="majorHAnsi"/>
          <w:iCs/>
          <w:sz w:val="20"/>
          <w:szCs w:val="20"/>
          <w:lang w:eastAsia="en-US"/>
        </w:rPr>
      </w:pPr>
      <w:r w:rsidRPr="004400DA">
        <w:rPr>
          <w:rFonts w:asciiTheme="majorHAnsi" w:eastAsia="Helvetica Neue" w:hAnsiTheme="majorHAnsi" w:cstheme="majorHAnsi"/>
          <w:iCs/>
          <w:sz w:val="20"/>
          <w:szCs w:val="20"/>
          <w:lang w:eastAsia="en-US"/>
        </w:rPr>
        <w:t>La Selección de aspirantes, además de los criterios, de formación académica,</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experiencia profesional, acreditación de documentación, exámenes que la institución</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considere pertinentes, debe ser un requisito obligatorio, la aprobación de un curso</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propedéutico que tenga un mínimo de 40 horas, el cual tiene como propósito valorar</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conocimientos y habilidades para el trabajo académico e investigación educativa previos</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asociados al programa en comento.</w:t>
      </w:r>
    </w:p>
    <w:p w14:paraId="504B9AD0" w14:textId="77777777" w:rsidR="004400DA" w:rsidRPr="004400DA" w:rsidRDefault="004400DA" w:rsidP="004400DA">
      <w:pPr>
        <w:autoSpaceDE w:val="0"/>
        <w:autoSpaceDN w:val="0"/>
        <w:adjustRightInd w:val="0"/>
        <w:jc w:val="both"/>
        <w:rPr>
          <w:rFonts w:asciiTheme="majorHAnsi" w:eastAsia="Helvetica Neue" w:hAnsiTheme="majorHAnsi" w:cstheme="majorHAnsi"/>
          <w:iCs/>
          <w:sz w:val="20"/>
          <w:szCs w:val="20"/>
          <w:lang w:eastAsia="en-US"/>
        </w:rPr>
      </w:pPr>
    </w:p>
    <w:p w14:paraId="615FFF47" w14:textId="30F043FB" w:rsidR="004400DA" w:rsidRPr="004400DA" w:rsidRDefault="004400DA" w:rsidP="004400DA">
      <w:pPr>
        <w:autoSpaceDE w:val="0"/>
        <w:autoSpaceDN w:val="0"/>
        <w:adjustRightInd w:val="0"/>
        <w:jc w:val="both"/>
        <w:rPr>
          <w:rFonts w:asciiTheme="majorHAnsi" w:eastAsia="Helvetica Neue" w:hAnsiTheme="majorHAnsi" w:cstheme="majorHAnsi"/>
          <w:iCs/>
          <w:sz w:val="20"/>
          <w:szCs w:val="20"/>
          <w:lang w:eastAsia="en-US"/>
        </w:rPr>
      </w:pPr>
      <w:r w:rsidRPr="004400DA">
        <w:rPr>
          <w:rFonts w:asciiTheme="majorHAnsi" w:eastAsia="Helvetica Neue" w:hAnsiTheme="majorHAnsi" w:cstheme="majorHAnsi"/>
          <w:iCs/>
          <w:sz w:val="20"/>
          <w:szCs w:val="20"/>
          <w:lang w:eastAsia="en-US"/>
        </w:rPr>
        <w:t>Los objetivos del curso propedéutico es valorar el perfil del aspirante y su desempeño en grupo,</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dotar a los aspirantes de referentes conceptuales introductorios que le permitan valorar su</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participación y compromiso con el plan de estudios de posgrado al que se piensa incorporar.</w:t>
      </w:r>
    </w:p>
    <w:p w14:paraId="3AD13FBA" w14:textId="77777777" w:rsidR="004400DA" w:rsidRPr="004400DA" w:rsidRDefault="004400DA" w:rsidP="004400DA">
      <w:pPr>
        <w:autoSpaceDE w:val="0"/>
        <w:autoSpaceDN w:val="0"/>
        <w:adjustRightInd w:val="0"/>
        <w:jc w:val="both"/>
        <w:rPr>
          <w:rFonts w:asciiTheme="majorHAnsi" w:eastAsia="Helvetica Neue" w:hAnsiTheme="majorHAnsi" w:cstheme="majorHAnsi"/>
          <w:iCs/>
          <w:sz w:val="20"/>
          <w:szCs w:val="20"/>
          <w:lang w:eastAsia="en-US"/>
        </w:rPr>
      </w:pPr>
    </w:p>
    <w:p w14:paraId="33FD72EA" w14:textId="5E4CDCAA" w:rsidR="004400DA" w:rsidRPr="004400DA" w:rsidRDefault="004400DA" w:rsidP="004400DA">
      <w:pPr>
        <w:autoSpaceDE w:val="0"/>
        <w:autoSpaceDN w:val="0"/>
        <w:adjustRightInd w:val="0"/>
        <w:jc w:val="both"/>
        <w:rPr>
          <w:rFonts w:asciiTheme="majorHAnsi" w:eastAsia="Helvetica Neue" w:hAnsiTheme="majorHAnsi" w:cstheme="majorHAnsi"/>
          <w:iCs/>
          <w:sz w:val="20"/>
          <w:szCs w:val="20"/>
          <w:lang w:eastAsia="en-US"/>
        </w:rPr>
      </w:pPr>
      <w:r w:rsidRPr="004400DA">
        <w:rPr>
          <w:rFonts w:asciiTheme="majorHAnsi" w:eastAsia="Helvetica Neue" w:hAnsiTheme="majorHAnsi" w:cstheme="majorHAnsi"/>
          <w:iCs/>
          <w:sz w:val="20"/>
          <w:szCs w:val="20"/>
          <w:lang w:eastAsia="en-US"/>
        </w:rPr>
        <w:t>En lo referente a la estructura del curso propedéutico, se recomienda que este constituido con</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cuatro asignaturas que no omitan la incorporación preferente de cursos la comprensión de</w:t>
      </w:r>
      <w:r>
        <w:rPr>
          <w:rFonts w:asciiTheme="majorHAnsi" w:eastAsia="Helvetica Neue" w:hAnsiTheme="majorHAnsi" w:cstheme="majorHAnsi"/>
          <w:iCs/>
          <w:sz w:val="20"/>
          <w:szCs w:val="20"/>
          <w:lang w:eastAsia="en-US"/>
        </w:rPr>
        <w:t xml:space="preserve"> </w:t>
      </w:r>
      <w:r w:rsidRPr="004400DA">
        <w:rPr>
          <w:rFonts w:asciiTheme="majorHAnsi" w:eastAsia="Helvetica Neue" w:hAnsiTheme="majorHAnsi" w:cstheme="majorHAnsi"/>
          <w:iCs/>
          <w:sz w:val="20"/>
          <w:szCs w:val="20"/>
          <w:lang w:eastAsia="en-US"/>
        </w:rPr>
        <w:t>textos en segunda lengua y herramientas y/o referentes metodológicos para la investigación.</w:t>
      </w:r>
    </w:p>
    <w:p w14:paraId="1D2E4317" w14:textId="77777777" w:rsidR="004400DA" w:rsidRPr="004400DA" w:rsidRDefault="004400DA" w:rsidP="004400DA">
      <w:pPr>
        <w:pStyle w:val="Prrafodelista"/>
        <w:autoSpaceDE w:val="0"/>
        <w:autoSpaceDN w:val="0"/>
        <w:adjustRightInd w:val="0"/>
        <w:ind w:left="360"/>
        <w:jc w:val="both"/>
        <w:rPr>
          <w:rFonts w:asciiTheme="majorHAnsi" w:eastAsia="Helvetica Neue" w:hAnsiTheme="majorHAnsi" w:cstheme="majorHAnsi"/>
          <w:i w:val="0"/>
        </w:rPr>
      </w:pPr>
    </w:p>
    <w:p w14:paraId="0EEEE1A0" w14:textId="5A95B3BF" w:rsidR="00507067" w:rsidRPr="007051BE" w:rsidRDefault="00507067" w:rsidP="007051BE">
      <w:pPr>
        <w:pStyle w:val="Prrafodelista"/>
        <w:numPr>
          <w:ilvl w:val="0"/>
          <w:numId w:val="6"/>
        </w:numPr>
        <w:pBdr>
          <w:top w:val="nil"/>
          <w:left w:val="nil"/>
          <w:bottom w:val="nil"/>
          <w:right w:val="nil"/>
          <w:between w:val="nil"/>
        </w:pBdr>
        <w:spacing w:after="0"/>
        <w:jc w:val="both"/>
        <w:rPr>
          <w:rFonts w:asciiTheme="majorHAnsi" w:eastAsia="Helvetica Neue" w:hAnsiTheme="majorHAnsi" w:cstheme="majorHAnsi"/>
          <w:b/>
          <w:bCs/>
          <w:i w:val="0"/>
        </w:rPr>
      </w:pPr>
      <w:r w:rsidRPr="007051BE">
        <w:rPr>
          <w:rFonts w:asciiTheme="majorHAnsi" w:eastAsia="Helvetica Neue" w:hAnsiTheme="majorHAnsi" w:cstheme="majorHAnsi"/>
          <w:b/>
          <w:bCs/>
          <w:i w:val="0"/>
        </w:rPr>
        <w:t>Programa de tutorías. (</w:t>
      </w:r>
      <w:r w:rsidR="00461D70" w:rsidRPr="007604E5">
        <w:rPr>
          <w:rFonts w:asciiTheme="majorHAnsi" w:eastAsia="Helvetica Neue" w:hAnsiTheme="majorHAnsi" w:cstheme="majorHAnsi"/>
          <w:b/>
          <w:bCs/>
          <w:i w:val="0"/>
        </w:rPr>
        <w:t xml:space="preserve">LINEAMIENTOS NORMATIVOS </w:t>
      </w:r>
      <w:r w:rsidRPr="007051BE">
        <w:rPr>
          <w:rFonts w:asciiTheme="majorHAnsi" w:eastAsia="Helvetica Neue" w:hAnsiTheme="majorHAnsi" w:cstheme="majorHAnsi"/>
          <w:b/>
          <w:bCs/>
          <w:i w:val="0"/>
        </w:rPr>
        <w:t xml:space="preserve">DGESUM)  </w:t>
      </w:r>
    </w:p>
    <w:p w14:paraId="5015606C" w14:textId="707D3889" w:rsidR="00507067" w:rsidRDefault="00507067" w:rsidP="007051BE">
      <w:pPr>
        <w:pBdr>
          <w:top w:val="nil"/>
          <w:left w:val="nil"/>
          <w:bottom w:val="nil"/>
          <w:right w:val="nil"/>
          <w:between w:val="nil"/>
        </w:pBdr>
        <w:rPr>
          <w:rFonts w:asciiTheme="majorHAnsi" w:eastAsia="Helvetica Neue" w:hAnsiTheme="majorHAnsi" w:cstheme="majorHAnsi"/>
          <w:iCs/>
          <w:sz w:val="20"/>
          <w:szCs w:val="20"/>
          <w:lang w:eastAsia="en-US"/>
        </w:rPr>
      </w:pPr>
      <w:r w:rsidRPr="007051BE">
        <w:rPr>
          <w:rFonts w:asciiTheme="majorHAnsi" w:eastAsia="Helvetica Neue" w:hAnsiTheme="majorHAnsi" w:cstheme="majorHAnsi"/>
          <w:iCs/>
          <w:sz w:val="20"/>
          <w:szCs w:val="20"/>
          <w:lang w:eastAsia="en-US"/>
        </w:rPr>
        <w:t>El programa de tutorías debe estar integrado por un conjunto de actividades de formación tutorial; actualización tutorial; criterios de formación de comités de tutoría; además de todos los criterios de operación de las tutorías, como por ejemplo, fechas de presentación de avances de tesis con el acompañamiento del tutor; frecuencias de tutoría mínima; derechos y obligaciones del tutor; derechos y obligaciones del estudiante de posgrado tutorado; alcance y límite de las tutorías, entre otras características.</w:t>
      </w:r>
    </w:p>
    <w:p w14:paraId="20996E89" w14:textId="77777777" w:rsidR="007051BE" w:rsidRPr="007051BE" w:rsidRDefault="007051BE" w:rsidP="007051BE">
      <w:pPr>
        <w:pBdr>
          <w:top w:val="nil"/>
          <w:left w:val="nil"/>
          <w:bottom w:val="nil"/>
          <w:right w:val="nil"/>
          <w:between w:val="nil"/>
        </w:pBdr>
        <w:rPr>
          <w:rFonts w:asciiTheme="majorHAnsi" w:eastAsia="Helvetica Neue" w:hAnsiTheme="majorHAnsi" w:cstheme="majorHAnsi"/>
          <w:iCs/>
          <w:sz w:val="20"/>
          <w:szCs w:val="20"/>
          <w:lang w:eastAsia="en-US"/>
        </w:rPr>
      </w:pPr>
    </w:p>
    <w:p w14:paraId="4E4F679A" w14:textId="0DCB6CB0" w:rsidR="00817531" w:rsidRPr="007051BE" w:rsidRDefault="009F0DCC" w:rsidP="007051BE">
      <w:pPr>
        <w:pStyle w:val="Prrafodelista"/>
        <w:numPr>
          <w:ilvl w:val="0"/>
          <w:numId w:val="6"/>
        </w:numPr>
        <w:pBdr>
          <w:top w:val="nil"/>
          <w:left w:val="nil"/>
          <w:bottom w:val="nil"/>
          <w:right w:val="nil"/>
          <w:between w:val="nil"/>
        </w:pBdr>
        <w:spacing w:after="0"/>
        <w:jc w:val="both"/>
        <w:rPr>
          <w:rFonts w:asciiTheme="majorHAnsi" w:eastAsia="Helvetica Neue" w:hAnsiTheme="majorHAnsi" w:cstheme="majorHAnsi"/>
          <w:b/>
          <w:bCs/>
          <w:i w:val="0"/>
        </w:rPr>
      </w:pPr>
      <w:r w:rsidRPr="00507067">
        <w:rPr>
          <w:rFonts w:asciiTheme="majorHAnsi" w:eastAsia="Helvetica Neue" w:hAnsiTheme="majorHAnsi" w:cstheme="majorHAnsi"/>
          <w:b/>
          <w:bCs/>
          <w:i w:val="0"/>
        </w:rPr>
        <w:t>Criterios de p</w:t>
      </w:r>
      <w:r w:rsidR="00817531" w:rsidRPr="00507067">
        <w:rPr>
          <w:rFonts w:asciiTheme="majorHAnsi" w:eastAsia="Helvetica Neue" w:hAnsiTheme="majorHAnsi" w:cstheme="majorHAnsi"/>
          <w:b/>
          <w:bCs/>
          <w:i w:val="0"/>
        </w:rPr>
        <w:t>ermanencia,  egreso  y graduación</w:t>
      </w:r>
      <w:r w:rsidR="002F7E7F" w:rsidRPr="00507067">
        <w:rPr>
          <w:rFonts w:asciiTheme="majorHAnsi" w:eastAsia="Helvetica Neue" w:hAnsiTheme="majorHAnsi" w:cstheme="majorHAnsi"/>
          <w:b/>
          <w:bCs/>
          <w:i w:val="0"/>
        </w:rPr>
        <w:t xml:space="preserve"> /titulación</w:t>
      </w:r>
      <w:r w:rsidR="002F7E7F" w:rsidRPr="007051BE">
        <w:rPr>
          <w:rFonts w:asciiTheme="majorHAnsi" w:eastAsia="Helvetica Neue" w:hAnsiTheme="majorHAnsi" w:cstheme="majorHAnsi"/>
          <w:b/>
          <w:bCs/>
          <w:i w:val="0"/>
        </w:rPr>
        <w:t xml:space="preserve">. </w:t>
      </w:r>
      <w:r w:rsidR="00817531" w:rsidRPr="007051BE">
        <w:rPr>
          <w:rFonts w:asciiTheme="majorHAnsi" w:eastAsia="Helvetica Neue" w:hAnsiTheme="majorHAnsi" w:cstheme="majorHAnsi"/>
          <w:b/>
          <w:bCs/>
          <w:i w:val="0"/>
        </w:rPr>
        <w:t xml:space="preserve"> (LINEAMIENTOS NORMATIVOS DGESUM)</w:t>
      </w:r>
    </w:p>
    <w:p w14:paraId="3C475F8A" w14:textId="7B4ACF57" w:rsidR="002F7E7F" w:rsidRPr="007051BE" w:rsidRDefault="002F7E7F" w:rsidP="007051BE">
      <w:pPr>
        <w:pBdr>
          <w:top w:val="nil"/>
          <w:left w:val="nil"/>
          <w:bottom w:val="nil"/>
          <w:right w:val="nil"/>
          <w:between w:val="nil"/>
        </w:pBdr>
        <w:jc w:val="both"/>
        <w:rPr>
          <w:rFonts w:asciiTheme="majorHAnsi" w:eastAsia="Helvetica Neue" w:hAnsiTheme="majorHAnsi" w:cstheme="majorHAnsi"/>
          <w:iCs/>
          <w:sz w:val="20"/>
          <w:szCs w:val="20"/>
          <w:lang w:eastAsia="en-US"/>
        </w:rPr>
      </w:pPr>
      <w:r w:rsidRPr="007051BE">
        <w:rPr>
          <w:rFonts w:asciiTheme="majorHAnsi" w:eastAsia="Helvetica Neue" w:hAnsiTheme="majorHAnsi" w:cstheme="majorHAnsi"/>
          <w:iCs/>
          <w:sz w:val="20"/>
          <w:szCs w:val="20"/>
          <w:lang w:eastAsia="en-US"/>
        </w:rPr>
        <w:t>Los criterios para la permanencia, egreso y graduación de los estudiantes de posgrado formarán parte de la reglamentación del posgrado en el centro educativo, por lo que su grado de especificidad no será pormenorizado, tratando de prever todos los posibles escenarios en los que pudiera encontrarse cualquier estudiante del posgrado, a fin de contar con un conjunto de lineamientos lo más exhaustivo posible.</w:t>
      </w:r>
    </w:p>
    <w:p w14:paraId="448ED8EB" w14:textId="77777777" w:rsidR="007051BE" w:rsidRDefault="007051BE" w:rsidP="007051BE">
      <w:pPr>
        <w:pBdr>
          <w:top w:val="nil"/>
          <w:left w:val="nil"/>
          <w:bottom w:val="nil"/>
          <w:right w:val="nil"/>
          <w:between w:val="nil"/>
        </w:pBdr>
        <w:jc w:val="both"/>
        <w:rPr>
          <w:rFonts w:asciiTheme="majorHAnsi" w:eastAsia="Helvetica Neue" w:hAnsiTheme="majorHAnsi" w:cstheme="majorHAnsi"/>
        </w:rPr>
      </w:pPr>
    </w:p>
    <w:p w14:paraId="5C86CE0B" w14:textId="55F8CAF4" w:rsidR="002F7E7F" w:rsidRPr="007051BE" w:rsidRDefault="002F7E7F" w:rsidP="007051BE">
      <w:pPr>
        <w:pBdr>
          <w:top w:val="nil"/>
          <w:left w:val="nil"/>
          <w:bottom w:val="nil"/>
          <w:right w:val="nil"/>
          <w:between w:val="nil"/>
        </w:pBdr>
        <w:jc w:val="both"/>
        <w:rPr>
          <w:rFonts w:asciiTheme="majorHAnsi" w:eastAsia="Helvetica Neue" w:hAnsiTheme="majorHAnsi" w:cstheme="majorHAnsi"/>
          <w:iCs/>
          <w:sz w:val="20"/>
          <w:szCs w:val="20"/>
          <w:lang w:eastAsia="en-US"/>
        </w:rPr>
      </w:pPr>
      <w:r w:rsidRPr="007051BE">
        <w:rPr>
          <w:rFonts w:asciiTheme="majorHAnsi" w:eastAsia="Helvetica Neue" w:hAnsiTheme="majorHAnsi" w:cstheme="majorHAnsi"/>
          <w:iCs/>
          <w:sz w:val="20"/>
          <w:szCs w:val="20"/>
          <w:lang w:eastAsia="en-US"/>
        </w:rPr>
        <w:lastRenderedPageBreak/>
        <w:t xml:space="preserve">Los programas de posgrado, por su naturaleza, requieren que el egresado demuestre sus competencias o habilidades, o conocimientos para la indagación, el análisis, la abstracción de ideas, conceptos o categorías, y derivar conclusiones con base en una metodología de la investigación. </w:t>
      </w:r>
    </w:p>
    <w:p w14:paraId="5061285E" w14:textId="77777777" w:rsidR="007051BE" w:rsidRPr="007051BE" w:rsidRDefault="007051BE" w:rsidP="007051BE">
      <w:pPr>
        <w:pBdr>
          <w:top w:val="nil"/>
          <w:left w:val="nil"/>
          <w:bottom w:val="nil"/>
          <w:right w:val="nil"/>
          <w:between w:val="nil"/>
        </w:pBdr>
        <w:jc w:val="both"/>
        <w:rPr>
          <w:rFonts w:asciiTheme="majorHAnsi" w:eastAsia="Helvetica Neue" w:hAnsiTheme="majorHAnsi" w:cstheme="majorHAnsi"/>
          <w:iCs/>
          <w:sz w:val="20"/>
          <w:szCs w:val="20"/>
          <w:lang w:eastAsia="en-US"/>
        </w:rPr>
      </w:pPr>
    </w:p>
    <w:p w14:paraId="558D3390" w14:textId="276B09BC" w:rsidR="002F7E7F" w:rsidRPr="007051BE" w:rsidRDefault="002F7E7F" w:rsidP="007051BE">
      <w:pPr>
        <w:pBdr>
          <w:top w:val="nil"/>
          <w:left w:val="nil"/>
          <w:bottom w:val="nil"/>
          <w:right w:val="nil"/>
          <w:between w:val="nil"/>
        </w:pBdr>
        <w:jc w:val="both"/>
        <w:rPr>
          <w:rFonts w:asciiTheme="majorHAnsi" w:eastAsia="Helvetica Neue" w:hAnsiTheme="majorHAnsi" w:cstheme="majorHAnsi"/>
          <w:iCs/>
          <w:sz w:val="20"/>
          <w:szCs w:val="20"/>
          <w:lang w:eastAsia="en-US"/>
        </w:rPr>
      </w:pPr>
      <w:r w:rsidRPr="007051BE">
        <w:rPr>
          <w:rFonts w:asciiTheme="majorHAnsi" w:eastAsia="Helvetica Neue" w:hAnsiTheme="majorHAnsi" w:cstheme="majorHAnsi"/>
          <w:iCs/>
          <w:sz w:val="20"/>
          <w:szCs w:val="20"/>
          <w:lang w:eastAsia="en-US"/>
        </w:rPr>
        <w:t xml:space="preserve">En el caso de los doctorados, se recomienda que se conforme un comité tutorial, conformado por un tutor y al menos dos cotutores. Asimismo, es muy importante considerar un examen de pregrado (predoctoral), con el comité tutorial en pleno. </w:t>
      </w:r>
    </w:p>
    <w:p w14:paraId="2CED9C50" w14:textId="77777777" w:rsidR="008158A1" w:rsidRDefault="008158A1" w:rsidP="002F7E7F">
      <w:pPr>
        <w:pStyle w:val="Prrafodelista"/>
        <w:pBdr>
          <w:top w:val="nil"/>
          <w:left w:val="nil"/>
          <w:bottom w:val="nil"/>
          <w:right w:val="nil"/>
          <w:between w:val="nil"/>
        </w:pBdr>
        <w:ind w:left="360"/>
        <w:jc w:val="both"/>
        <w:rPr>
          <w:rFonts w:asciiTheme="majorHAnsi" w:eastAsia="Helvetica Neue" w:hAnsiTheme="majorHAnsi" w:cstheme="majorHAnsi"/>
          <w:i w:val="0"/>
        </w:rPr>
      </w:pPr>
    </w:p>
    <w:p w14:paraId="2716C8BD" w14:textId="39131A88" w:rsidR="002F7E7F" w:rsidRPr="002F7E7F" w:rsidRDefault="002F7E7F"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2F7E7F">
        <w:rPr>
          <w:rFonts w:asciiTheme="majorHAnsi" w:eastAsia="Helvetica Neue" w:hAnsiTheme="majorHAnsi" w:cstheme="majorHAnsi"/>
          <w:i w:val="0"/>
        </w:rPr>
        <w:t>La elaboración de un trabajo de tesis tiene los elementos idóneos para obtener un</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grado académico. Por tanto, es la única modalidad aceptable para los grados de maestría</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 xml:space="preserve">y doctorado (La tesina solo aplica para el caso de las especialidades). </w:t>
      </w:r>
    </w:p>
    <w:p w14:paraId="039C3EE4" w14:textId="77777777" w:rsidR="008158A1" w:rsidRDefault="008158A1" w:rsidP="007051BE">
      <w:pPr>
        <w:pStyle w:val="Prrafodelista"/>
        <w:pBdr>
          <w:top w:val="nil"/>
          <w:left w:val="nil"/>
          <w:bottom w:val="nil"/>
          <w:right w:val="nil"/>
          <w:between w:val="nil"/>
        </w:pBdr>
        <w:ind w:left="0"/>
        <w:jc w:val="both"/>
        <w:rPr>
          <w:rFonts w:asciiTheme="majorHAnsi" w:eastAsia="Helvetica Neue" w:hAnsiTheme="majorHAnsi" w:cstheme="majorHAnsi"/>
          <w:i w:val="0"/>
        </w:rPr>
      </w:pPr>
    </w:p>
    <w:p w14:paraId="766908A8" w14:textId="13140F51" w:rsidR="002F7E7F" w:rsidRPr="002F7E7F" w:rsidRDefault="002F7E7F"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2F7E7F">
        <w:rPr>
          <w:rFonts w:asciiTheme="majorHAnsi" w:eastAsia="Helvetica Neue" w:hAnsiTheme="majorHAnsi" w:cstheme="majorHAnsi"/>
          <w:i w:val="0"/>
        </w:rPr>
        <w:t>En ambos exámenes (predoctoral y doctoral), se debe de presentar la tesis en principio</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en el examen de pregrado, la tesis en proceso al 90% de su conclusión para que el comité</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tutorial incorpore recomendaciones y observaciones con anterioridad a la presentación</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 xml:space="preserve">y defensa final de la tesis en el examen de grado. </w:t>
      </w:r>
    </w:p>
    <w:p w14:paraId="1A2EDE54" w14:textId="77777777" w:rsidR="008158A1" w:rsidRDefault="008158A1" w:rsidP="007051BE">
      <w:pPr>
        <w:pStyle w:val="Prrafodelista"/>
        <w:pBdr>
          <w:top w:val="nil"/>
          <w:left w:val="nil"/>
          <w:bottom w:val="nil"/>
          <w:right w:val="nil"/>
          <w:between w:val="nil"/>
        </w:pBdr>
        <w:ind w:left="0"/>
        <w:jc w:val="both"/>
        <w:rPr>
          <w:rFonts w:asciiTheme="majorHAnsi" w:eastAsia="Helvetica Neue" w:hAnsiTheme="majorHAnsi" w:cstheme="majorHAnsi"/>
          <w:i w:val="0"/>
        </w:rPr>
      </w:pPr>
    </w:p>
    <w:p w14:paraId="56F8A375" w14:textId="11C052A2" w:rsidR="002F7E7F" w:rsidRPr="002F7E7F" w:rsidRDefault="002F7E7F"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2F7E7F">
        <w:rPr>
          <w:rFonts w:asciiTheme="majorHAnsi" w:eastAsia="Helvetica Neue" w:hAnsiTheme="majorHAnsi" w:cstheme="majorHAnsi"/>
          <w:i w:val="0"/>
        </w:rPr>
        <w:t>Es imprescindible establecer los lineamientos pertinentes para estructurar y normar el</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contenido del trabajo de tesis, así como de la organización y procedimientos de</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 xml:space="preserve">presentación, defensa y examinación para obtener el grado correspondiente. </w:t>
      </w:r>
    </w:p>
    <w:p w14:paraId="1BA3B272" w14:textId="77777777" w:rsidR="002F7E7F" w:rsidRDefault="002F7E7F" w:rsidP="007051BE">
      <w:pPr>
        <w:pStyle w:val="Prrafodelista"/>
        <w:pBdr>
          <w:top w:val="nil"/>
          <w:left w:val="nil"/>
          <w:bottom w:val="nil"/>
          <w:right w:val="nil"/>
          <w:between w:val="nil"/>
        </w:pBdr>
        <w:ind w:left="0"/>
        <w:jc w:val="both"/>
        <w:rPr>
          <w:rFonts w:asciiTheme="majorHAnsi" w:eastAsia="Helvetica Neue" w:hAnsiTheme="majorHAnsi" w:cstheme="majorHAnsi"/>
          <w:i w:val="0"/>
        </w:rPr>
      </w:pPr>
    </w:p>
    <w:p w14:paraId="629085CB" w14:textId="0EC2B59C" w:rsidR="00C01CEC" w:rsidRPr="00C01CEC" w:rsidRDefault="00C01CEC"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C01CEC">
        <w:rPr>
          <w:rFonts w:asciiTheme="majorHAnsi" w:eastAsia="Helvetica Neue" w:hAnsiTheme="majorHAnsi" w:cstheme="majorHAnsi"/>
          <w:i w:val="0"/>
        </w:rPr>
        <w:t>Se recomienda que la proporción máxima de estudiantes asesorados en su trabajo de</w:t>
      </w:r>
      <w:r>
        <w:rPr>
          <w:rFonts w:asciiTheme="majorHAnsi" w:eastAsia="Helvetica Neue" w:hAnsiTheme="majorHAnsi" w:cstheme="majorHAnsi"/>
          <w:i w:val="0"/>
        </w:rPr>
        <w:t xml:space="preserve"> </w:t>
      </w:r>
      <w:r w:rsidRPr="00C01CEC">
        <w:rPr>
          <w:rFonts w:asciiTheme="majorHAnsi" w:eastAsia="Helvetica Neue" w:hAnsiTheme="majorHAnsi" w:cstheme="majorHAnsi"/>
          <w:i w:val="0"/>
        </w:rPr>
        <w:t xml:space="preserve">tesis </w:t>
      </w:r>
      <w:r w:rsidR="00980A59">
        <w:rPr>
          <w:rFonts w:asciiTheme="majorHAnsi" w:eastAsia="Helvetica Neue" w:hAnsiTheme="majorHAnsi" w:cstheme="majorHAnsi"/>
          <w:i w:val="0"/>
        </w:rPr>
        <w:t xml:space="preserve"> por docente </w:t>
      </w:r>
      <w:r w:rsidRPr="00C01CEC">
        <w:rPr>
          <w:rFonts w:asciiTheme="majorHAnsi" w:eastAsia="Helvetica Neue" w:hAnsiTheme="majorHAnsi" w:cstheme="majorHAnsi"/>
          <w:i w:val="0"/>
        </w:rPr>
        <w:t xml:space="preserve">debe de ser: </w:t>
      </w:r>
    </w:p>
    <w:p w14:paraId="39C52781" w14:textId="77777777" w:rsidR="00C01CEC" w:rsidRPr="00C01CEC" w:rsidRDefault="00C01CEC"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C01CEC">
        <w:rPr>
          <w:rFonts w:ascii="Cambria Math" w:eastAsia="Helvetica Neue" w:hAnsi="Cambria Math" w:cs="Cambria Math"/>
          <w:i w:val="0"/>
        </w:rPr>
        <w:t>⎯</w:t>
      </w:r>
      <w:r w:rsidRPr="00C01CEC">
        <w:rPr>
          <w:rFonts w:asciiTheme="majorHAnsi" w:eastAsia="Helvetica Neue" w:hAnsiTheme="majorHAnsi" w:cstheme="majorHAnsi"/>
          <w:i w:val="0"/>
        </w:rPr>
        <w:t xml:space="preserve"> Maestría: 3-4 maestrantes como máximo por docente de tiempo completo.</w:t>
      </w:r>
    </w:p>
    <w:p w14:paraId="5B896158" w14:textId="77777777" w:rsidR="00C01CEC" w:rsidRPr="00C01CEC" w:rsidRDefault="00C01CEC"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C01CEC">
        <w:rPr>
          <w:rFonts w:ascii="Cambria Math" w:eastAsia="Helvetica Neue" w:hAnsi="Cambria Math" w:cs="Cambria Math"/>
          <w:i w:val="0"/>
        </w:rPr>
        <w:t>⎯</w:t>
      </w:r>
      <w:r w:rsidRPr="00C01CEC">
        <w:rPr>
          <w:rFonts w:asciiTheme="majorHAnsi" w:eastAsia="Helvetica Neue" w:hAnsiTheme="majorHAnsi" w:cstheme="majorHAnsi"/>
          <w:i w:val="0"/>
        </w:rPr>
        <w:t xml:space="preserve"> Maestría 2-3 maestrantes como máximo por docente de tiempo parcial o asignatura.</w:t>
      </w:r>
    </w:p>
    <w:p w14:paraId="406852DF" w14:textId="77777777" w:rsidR="00C01CEC" w:rsidRPr="00C01CEC" w:rsidRDefault="00C01CEC"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C01CEC">
        <w:rPr>
          <w:rFonts w:ascii="Cambria Math" w:eastAsia="Helvetica Neue" w:hAnsi="Cambria Math" w:cs="Cambria Math"/>
          <w:i w:val="0"/>
        </w:rPr>
        <w:t>⎯</w:t>
      </w:r>
      <w:r w:rsidRPr="00C01CEC">
        <w:rPr>
          <w:rFonts w:asciiTheme="majorHAnsi" w:eastAsia="Helvetica Neue" w:hAnsiTheme="majorHAnsi" w:cstheme="majorHAnsi"/>
          <w:i w:val="0"/>
        </w:rPr>
        <w:t xml:space="preserve"> Doctorado: 2–3 </w:t>
      </w:r>
      <w:proofErr w:type="spellStart"/>
      <w:r w:rsidRPr="00C01CEC">
        <w:rPr>
          <w:rFonts w:asciiTheme="majorHAnsi" w:eastAsia="Helvetica Neue" w:hAnsiTheme="majorHAnsi" w:cstheme="majorHAnsi"/>
          <w:i w:val="0"/>
        </w:rPr>
        <w:t>doctorantes</w:t>
      </w:r>
      <w:proofErr w:type="spellEnd"/>
      <w:r w:rsidRPr="00C01CEC">
        <w:rPr>
          <w:rFonts w:asciiTheme="majorHAnsi" w:eastAsia="Helvetica Neue" w:hAnsiTheme="majorHAnsi" w:cstheme="majorHAnsi"/>
          <w:i w:val="0"/>
        </w:rPr>
        <w:t xml:space="preserve"> como máximo por docente de tiempo completo</w:t>
      </w:r>
    </w:p>
    <w:p w14:paraId="5CA0E002" w14:textId="7D40100C" w:rsidR="00C01CEC" w:rsidRPr="002F7E7F" w:rsidRDefault="00C01CEC" w:rsidP="007051BE">
      <w:pPr>
        <w:pStyle w:val="Prrafodelista"/>
        <w:pBdr>
          <w:top w:val="nil"/>
          <w:left w:val="nil"/>
          <w:bottom w:val="nil"/>
          <w:right w:val="nil"/>
          <w:between w:val="nil"/>
        </w:pBdr>
        <w:ind w:left="0"/>
        <w:jc w:val="both"/>
        <w:rPr>
          <w:rFonts w:asciiTheme="majorHAnsi" w:eastAsia="Helvetica Neue" w:hAnsiTheme="majorHAnsi" w:cstheme="majorHAnsi"/>
          <w:i w:val="0"/>
        </w:rPr>
      </w:pPr>
      <w:r w:rsidRPr="00C01CEC">
        <w:rPr>
          <w:rFonts w:ascii="Cambria Math" w:eastAsia="Helvetica Neue" w:hAnsi="Cambria Math" w:cs="Cambria Math"/>
          <w:i w:val="0"/>
        </w:rPr>
        <w:t>⎯</w:t>
      </w:r>
      <w:r w:rsidRPr="00C01CEC">
        <w:rPr>
          <w:rFonts w:asciiTheme="majorHAnsi" w:eastAsia="Helvetica Neue" w:hAnsiTheme="majorHAnsi" w:cstheme="majorHAnsi"/>
          <w:i w:val="0"/>
        </w:rPr>
        <w:t xml:space="preserve"> Doctorado 1-2 </w:t>
      </w:r>
      <w:proofErr w:type="spellStart"/>
      <w:r w:rsidRPr="00C01CEC">
        <w:rPr>
          <w:rFonts w:asciiTheme="majorHAnsi" w:eastAsia="Helvetica Neue" w:hAnsiTheme="majorHAnsi" w:cstheme="majorHAnsi"/>
          <w:i w:val="0"/>
        </w:rPr>
        <w:t>doctorantes</w:t>
      </w:r>
      <w:proofErr w:type="spellEnd"/>
      <w:r w:rsidRPr="00C01CEC">
        <w:rPr>
          <w:rFonts w:asciiTheme="majorHAnsi" w:eastAsia="Helvetica Neue" w:hAnsiTheme="majorHAnsi" w:cstheme="majorHAnsi"/>
          <w:i w:val="0"/>
        </w:rPr>
        <w:t xml:space="preserve"> como máximo por docente de tiempo parcial.</w:t>
      </w:r>
    </w:p>
    <w:p w14:paraId="36B14A3E" w14:textId="77777777" w:rsidR="002F7E7F" w:rsidRPr="00817531" w:rsidRDefault="002F7E7F" w:rsidP="002F7E7F">
      <w:pPr>
        <w:pStyle w:val="Prrafodelista"/>
        <w:pBdr>
          <w:top w:val="nil"/>
          <w:left w:val="nil"/>
          <w:bottom w:val="nil"/>
          <w:right w:val="nil"/>
          <w:between w:val="nil"/>
        </w:pBdr>
        <w:ind w:left="360"/>
        <w:jc w:val="both"/>
        <w:rPr>
          <w:rFonts w:asciiTheme="majorHAnsi" w:eastAsia="Helvetica Neue" w:hAnsiTheme="majorHAnsi" w:cstheme="majorHAnsi"/>
          <w:i w:val="0"/>
        </w:rPr>
      </w:pPr>
    </w:p>
    <w:p w14:paraId="5C0F0875" w14:textId="630D9C26" w:rsidR="00557890" w:rsidRPr="007604E5" w:rsidRDefault="007604E5" w:rsidP="00557890">
      <w:pPr>
        <w:pStyle w:val="Prrafodelista"/>
        <w:numPr>
          <w:ilvl w:val="0"/>
          <w:numId w:val="6"/>
        </w:numPr>
        <w:pBdr>
          <w:top w:val="nil"/>
          <w:left w:val="nil"/>
          <w:bottom w:val="nil"/>
          <w:right w:val="nil"/>
          <w:between w:val="nil"/>
        </w:pBdr>
        <w:jc w:val="both"/>
        <w:rPr>
          <w:rFonts w:asciiTheme="majorHAnsi" w:eastAsia="Helvetica Neue" w:hAnsiTheme="majorHAnsi" w:cstheme="majorHAnsi"/>
          <w:b/>
          <w:bCs/>
          <w:i w:val="0"/>
        </w:rPr>
      </w:pPr>
      <w:r w:rsidRPr="007604E5">
        <w:rPr>
          <w:rFonts w:asciiTheme="majorHAnsi" w:eastAsia="Helvetica Neue" w:hAnsiTheme="majorHAnsi" w:cstheme="majorHAnsi"/>
          <w:b/>
          <w:bCs/>
          <w:i w:val="0"/>
          <w:noProof/>
          <w:lang w:val="es-MX" w:eastAsia="es-MX"/>
        </w:rPr>
        <w:drawing>
          <wp:anchor distT="0" distB="0" distL="114300" distR="114300" simplePos="0" relativeHeight="251658240" behindDoc="1" locked="0" layoutInCell="1" allowOverlap="1" wp14:anchorId="267EBA44" wp14:editId="27E81F5C">
            <wp:simplePos x="0" y="0"/>
            <wp:positionH relativeFrom="column">
              <wp:posOffset>2931420</wp:posOffset>
            </wp:positionH>
            <wp:positionV relativeFrom="paragraph">
              <wp:posOffset>79511</wp:posOffset>
            </wp:positionV>
            <wp:extent cx="3070463" cy="1093962"/>
            <wp:effectExtent l="0" t="0" r="0" b="0"/>
            <wp:wrapTight wrapText="bothSides">
              <wp:wrapPolygon edited="0">
                <wp:start x="0" y="0"/>
                <wp:lineTo x="0" y="21073"/>
                <wp:lineTo x="21444" y="21073"/>
                <wp:lineTo x="21444" y="0"/>
                <wp:lineTo x="0" y="0"/>
              </wp:wrapPolygon>
            </wp:wrapTight>
            <wp:docPr id="362892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892782" name=""/>
                    <pic:cNvPicPr/>
                  </pic:nvPicPr>
                  <pic:blipFill rotWithShape="1">
                    <a:blip r:embed="rId9" cstate="print">
                      <a:extLst>
                        <a:ext uri="{28A0092B-C50C-407E-A947-70E740481C1C}">
                          <a14:useLocalDpi xmlns:a14="http://schemas.microsoft.com/office/drawing/2010/main" val="0"/>
                        </a:ext>
                      </a:extLst>
                    </a:blip>
                    <a:srcRect l="30625" t="29752" r="16879" b="35447"/>
                    <a:stretch/>
                  </pic:blipFill>
                  <pic:spPr bwMode="auto">
                    <a:xfrm>
                      <a:off x="0" y="0"/>
                      <a:ext cx="3070463" cy="1093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7890" w:rsidRPr="007604E5">
        <w:rPr>
          <w:rFonts w:asciiTheme="majorHAnsi" w:eastAsia="Helvetica Neue" w:hAnsiTheme="majorHAnsi" w:cstheme="majorHAnsi"/>
          <w:b/>
          <w:bCs/>
          <w:i w:val="0"/>
          <w:lang w:val="es-MX"/>
        </w:rPr>
        <w:t xml:space="preserve">Lineamientos de acreditación de segundo idioma.  </w:t>
      </w:r>
      <w:r w:rsidR="00557890" w:rsidRPr="007604E5">
        <w:rPr>
          <w:rFonts w:asciiTheme="majorHAnsi" w:eastAsia="Helvetica Neue" w:hAnsiTheme="majorHAnsi" w:cstheme="majorHAnsi"/>
          <w:b/>
          <w:bCs/>
          <w:i w:val="0"/>
        </w:rPr>
        <w:t>(LINEAMIENTOS NORMATIVOS DGESUM)</w:t>
      </w:r>
    </w:p>
    <w:p w14:paraId="15B8D8C7" w14:textId="42A1B8C5" w:rsidR="00BD57E5" w:rsidRDefault="002F7E7F" w:rsidP="002F7E7F">
      <w:pPr>
        <w:pStyle w:val="Prrafodelista"/>
        <w:pBdr>
          <w:top w:val="nil"/>
          <w:left w:val="nil"/>
          <w:bottom w:val="nil"/>
          <w:right w:val="nil"/>
          <w:between w:val="nil"/>
        </w:pBdr>
        <w:ind w:left="360"/>
        <w:jc w:val="both"/>
        <w:rPr>
          <w:rFonts w:asciiTheme="majorHAnsi" w:eastAsia="Helvetica Neue" w:hAnsiTheme="majorHAnsi" w:cstheme="majorHAnsi"/>
          <w:i w:val="0"/>
        </w:rPr>
      </w:pPr>
      <w:r w:rsidRPr="002F7E7F">
        <w:rPr>
          <w:rFonts w:asciiTheme="majorHAnsi" w:eastAsia="Helvetica Neue" w:hAnsiTheme="majorHAnsi" w:cstheme="majorHAnsi"/>
          <w:i w:val="0"/>
        </w:rPr>
        <w:t>En el caso de maestría no se debe de omitir el requisito obligatorio de acreditación del idioma</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inglés con 430 puntos del TOEFL, y para programas de doctorado se requiere acreditar como</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requisito de graduación 450 puntos de TOEFL o equivalente (Ver la siguiente tabla de</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equivalencias):</w:t>
      </w:r>
    </w:p>
    <w:p w14:paraId="08C6D40F" w14:textId="10ED4199" w:rsidR="007604E5" w:rsidRPr="007604E5" w:rsidRDefault="007604E5" w:rsidP="007604E5">
      <w:pPr>
        <w:pStyle w:val="Prrafodelista"/>
        <w:pBdr>
          <w:top w:val="nil"/>
          <w:left w:val="nil"/>
          <w:bottom w:val="nil"/>
          <w:right w:val="nil"/>
          <w:between w:val="nil"/>
        </w:pBdr>
        <w:ind w:left="360"/>
        <w:jc w:val="both"/>
        <w:rPr>
          <w:rFonts w:asciiTheme="majorHAnsi" w:eastAsia="Helvetica Neue" w:hAnsiTheme="majorHAnsi" w:cstheme="majorHAnsi"/>
          <w:i w:val="0"/>
          <w:lang w:val="es-MX"/>
        </w:rPr>
      </w:pPr>
      <w:r w:rsidRPr="007604E5">
        <w:rPr>
          <w:rFonts w:asciiTheme="majorHAnsi" w:eastAsia="Helvetica Neue" w:hAnsiTheme="majorHAnsi" w:cstheme="majorHAnsi"/>
          <w:i w:val="0"/>
          <w:lang w:val="es-MX"/>
        </w:rPr>
        <w:t xml:space="preserve">En el caso de que el maestrante o </w:t>
      </w:r>
      <w:proofErr w:type="spellStart"/>
      <w:r w:rsidRPr="007604E5">
        <w:rPr>
          <w:rFonts w:asciiTheme="majorHAnsi" w:eastAsia="Helvetica Neue" w:hAnsiTheme="majorHAnsi" w:cstheme="majorHAnsi"/>
          <w:i w:val="0"/>
          <w:lang w:val="es-MX"/>
        </w:rPr>
        <w:t>doctorante</w:t>
      </w:r>
      <w:proofErr w:type="spellEnd"/>
      <w:r w:rsidRPr="007604E5">
        <w:rPr>
          <w:rFonts w:asciiTheme="majorHAnsi" w:eastAsia="Helvetica Neue" w:hAnsiTheme="majorHAnsi" w:cstheme="majorHAnsi"/>
          <w:i w:val="0"/>
          <w:lang w:val="es-MX"/>
        </w:rPr>
        <w:t xml:space="preserve"> domine una lengua originaria, la certificación de</w:t>
      </w:r>
      <w:r>
        <w:rPr>
          <w:rFonts w:asciiTheme="majorHAnsi" w:eastAsia="Helvetica Neue" w:hAnsiTheme="majorHAnsi" w:cstheme="majorHAnsi"/>
          <w:i w:val="0"/>
          <w:lang w:val="es-MX"/>
        </w:rPr>
        <w:t xml:space="preserve"> </w:t>
      </w:r>
      <w:r w:rsidRPr="007604E5">
        <w:rPr>
          <w:rFonts w:asciiTheme="majorHAnsi" w:eastAsia="Helvetica Neue" w:hAnsiTheme="majorHAnsi" w:cstheme="majorHAnsi"/>
          <w:i w:val="0"/>
          <w:lang w:val="es-MX"/>
        </w:rPr>
        <w:t>esta lengua, por institución facultada y competente, podrá considerarse como una opción para</w:t>
      </w:r>
      <w:r>
        <w:rPr>
          <w:rFonts w:asciiTheme="majorHAnsi" w:eastAsia="Helvetica Neue" w:hAnsiTheme="majorHAnsi" w:cstheme="majorHAnsi"/>
          <w:i w:val="0"/>
          <w:lang w:val="es-MX"/>
        </w:rPr>
        <w:t xml:space="preserve"> </w:t>
      </w:r>
      <w:r w:rsidRPr="007604E5">
        <w:rPr>
          <w:rFonts w:asciiTheme="majorHAnsi" w:eastAsia="Helvetica Neue" w:hAnsiTheme="majorHAnsi" w:cstheme="majorHAnsi"/>
          <w:i w:val="0"/>
          <w:lang w:val="es-MX"/>
        </w:rPr>
        <w:t>cubrir el requisito del idioma.</w:t>
      </w:r>
    </w:p>
    <w:p w14:paraId="375280B9" w14:textId="1B124B86" w:rsidR="007604E5" w:rsidRPr="007604E5" w:rsidRDefault="007604E5" w:rsidP="007604E5">
      <w:pPr>
        <w:pStyle w:val="Prrafodelista"/>
        <w:pBdr>
          <w:top w:val="nil"/>
          <w:left w:val="nil"/>
          <w:bottom w:val="nil"/>
          <w:right w:val="nil"/>
          <w:between w:val="nil"/>
        </w:pBdr>
        <w:ind w:left="360"/>
        <w:jc w:val="both"/>
        <w:rPr>
          <w:rFonts w:asciiTheme="majorHAnsi" w:eastAsia="Helvetica Neue" w:hAnsiTheme="majorHAnsi" w:cstheme="majorHAnsi"/>
          <w:i w:val="0"/>
          <w:lang w:val="es-MX"/>
        </w:rPr>
      </w:pPr>
      <w:r w:rsidRPr="007604E5">
        <w:rPr>
          <w:rFonts w:asciiTheme="majorHAnsi" w:eastAsia="Helvetica Neue" w:hAnsiTheme="majorHAnsi" w:cstheme="majorHAnsi"/>
          <w:i w:val="0"/>
          <w:lang w:val="es-MX"/>
        </w:rPr>
        <w:t>Los criterios para la certificación del idioma o lengua originaria deben de estar asentados</w:t>
      </w:r>
      <w:r>
        <w:rPr>
          <w:rFonts w:asciiTheme="majorHAnsi" w:eastAsia="Helvetica Neue" w:hAnsiTheme="majorHAnsi" w:cstheme="majorHAnsi"/>
          <w:i w:val="0"/>
          <w:lang w:val="es-MX"/>
        </w:rPr>
        <w:t xml:space="preserve"> </w:t>
      </w:r>
      <w:r w:rsidRPr="007604E5">
        <w:rPr>
          <w:rFonts w:asciiTheme="majorHAnsi" w:eastAsia="Helvetica Neue" w:hAnsiTheme="majorHAnsi" w:cstheme="majorHAnsi"/>
          <w:i w:val="0"/>
          <w:lang w:val="es-MX"/>
        </w:rPr>
        <w:t xml:space="preserve">textualmente </w:t>
      </w:r>
      <w:r w:rsidR="007756F0">
        <w:rPr>
          <w:rFonts w:asciiTheme="majorHAnsi" w:eastAsia="Helvetica Neue" w:hAnsiTheme="majorHAnsi" w:cstheme="majorHAnsi"/>
          <w:i w:val="0"/>
          <w:lang w:val="es-MX"/>
        </w:rPr>
        <w:t xml:space="preserve">                           </w:t>
      </w:r>
      <w:r w:rsidRPr="007604E5">
        <w:rPr>
          <w:rFonts w:asciiTheme="majorHAnsi" w:eastAsia="Helvetica Neue" w:hAnsiTheme="majorHAnsi" w:cstheme="majorHAnsi"/>
          <w:i w:val="0"/>
          <w:lang w:val="es-MX"/>
        </w:rPr>
        <w:t>y sin alteración en el Reglamento del Posgrado.</w:t>
      </w:r>
    </w:p>
    <w:p w14:paraId="47C46252" w14:textId="240250B6" w:rsidR="00557890" w:rsidRDefault="00557890" w:rsidP="00557890">
      <w:pPr>
        <w:pStyle w:val="Prrafodelista"/>
        <w:numPr>
          <w:ilvl w:val="0"/>
          <w:numId w:val="6"/>
        </w:numPr>
        <w:pBdr>
          <w:top w:val="nil"/>
          <w:left w:val="nil"/>
          <w:bottom w:val="nil"/>
          <w:right w:val="nil"/>
          <w:between w:val="nil"/>
        </w:pBdr>
        <w:jc w:val="both"/>
        <w:rPr>
          <w:rFonts w:asciiTheme="majorHAnsi" w:eastAsia="Helvetica Neue" w:hAnsiTheme="majorHAnsi" w:cstheme="majorHAnsi"/>
          <w:b/>
          <w:bCs/>
          <w:i w:val="0"/>
        </w:rPr>
      </w:pPr>
      <w:r w:rsidRPr="007604E5">
        <w:rPr>
          <w:rFonts w:asciiTheme="majorHAnsi" w:eastAsia="Helvetica Neue" w:hAnsiTheme="majorHAnsi" w:cstheme="majorHAnsi"/>
          <w:b/>
          <w:bCs/>
          <w:i w:val="0"/>
        </w:rPr>
        <w:lastRenderedPageBreak/>
        <w:t>Programa de acompañamiento y actualización permanente de segunda lengua para el claustro de docentes y estudiantes de posgrado. (LINEAMIENTOS NORMATIVOS DGESUM)</w:t>
      </w:r>
    </w:p>
    <w:p w14:paraId="6F4DB7D2" w14:textId="60E1BF1D" w:rsidR="00A3562A" w:rsidRPr="00A3562A" w:rsidRDefault="00A3562A" w:rsidP="00A3562A">
      <w:pPr>
        <w:pStyle w:val="Prrafodelista"/>
        <w:pBdr>
          <w:top w:val="nil"/>
          <w:left w:val="nil"/>
          <w:bottom w:val="nil"/>
          <w:right w:val="nil"/>
          <w:between w:val="nil"/>
        </w:pBdr>
        <w:ind w:left="360"/>
        <w:jc w:val="both"/>
        <w:rPr>
          <w:rFonts w:asciiTheme="majorHAnsi" w:eastAsia="Helvetica Neue" w:hAnsiTheme="majorHAnsi" w:cstheme="majorHAnsi"/>
          <w:i w:val="0"/>
          <w:iCs w:val="0"/>
          <w:lang w:val="es-MX"/>
        </w:rPr>
      </w:pPr>
      <w:r w:rsidRPr="00A3562A">
        <w:rPr>
          <w:rFonts w:asciiTheme="majorHAnsi" w:eastAsia="Helvetica Neue" w:hAnsiTheme="majorHAnsi" w:cstheme="majorHAnsi"/>
          <w:i w:val="0"/>
          <w:iCs w:val="0"/>
          <w:lang w:val="es-MX"/>
        </w:rPr>
        <w:t>Se requiere contar con un programa de actualización permanente de inglés para el claustro de</w:t>
      </w:r>
      <w:r>
        <w:rPr>
          <w:rFonts w:asciiTheme="majorHAnsi" w:eastAsia="Helvetica Neue" w:hAnsiTheme="majorHAnsi" w:cstheme="majorHAnsi"/>
          <w:i w:val="0"/>
          <w:iCs w:val="0"/>
          <w:lang w:val="es-MX"/>
        </w:rPr>
        <w:t xml:space="preserve"> </w:t>
      </w:r>
      <w:r w:rsidRPr="00A3562A">
        <w:rPr>
          <w:rFonts w:asciiTheme="majorHAnsi" w:eastAsia="Helvetica Neue" w:hAnsiTheme="majorHAnsi" w:cstheme="majorHAnsi"/>
          <w:i w:val="0"/>
          <w:iCs w:val="0"/>
          <w:lang w:val="es-MX"/>
        </w:rPr>
        <w:t>docentes, en el cual los docentes pueden participar de manera voluntaria. Asimismo, el</w:t>
      </w:r>
      <w:r>
        <w:rPr>
          <w:rFonts w:asciiTheme="majorHAnsi" w:eastAsia="Helvetica Neue" w:hAnsiTheme="majorHAnsi" w:cstheme="majorHAnsi"/>
          <w:i w:val="0"/>
          <w:iCs w:val="0"/>
          <w:lang w:val="es-MX"/>
        </w:rPr>
        <w:t xml:space="preserve"> </w:t>
      </w:r>
      <w:r w:rsidRPr="00A3562A">
        <w:rPr>
          <w:rFonts w:asciiTheme="majorHAnsi" w:eastAsia="Helvetica Neue" w:hAnsiTheme="majorHAnsi" w:cstheme="majorHAnsi"/>
          <w:i w:val="0"/>
          <w:iCs w:val="0"/>
          <w:lang w:val="es-MX"/>
        </w:rPr>
        <w:t>programa requiere ofrecer un programa de acompañamiento y apoyo institucional a los</w:t>
      </w:r>
      <w:r>
        <w:rPr>
          <w:rFonts w:asciiTheme="majorHAnsi" w:eastAsia="Helvetica Neue" w:hAnsiTheme="majorHAnsi" w:cstheme="majorHAnsi"/>
          <w:i w:val="0"/>
          <w:iCs w:val="0"/>
          <w:lang w:val="es-MX"/>
        </w:rPr>
        <w:t xml:space="preserve"> </w:t>
      </w:r>
      <w:r w:rsidRPr="00A3562A">
        <w:rPr>
          <w:rFonts w:asciiTheme="majorHAnsi" w:eastAsia="Helvetica Neue" w:hAnsiTheme="majorHAnsi" w:cstheme="majorHAnsi"/>
          <w:i w:val="0"/>
          <w:iCs w:val="0"/>
          <w:lang w:val="es-MX"/>
        </w:rPr>
        <w:t>estudiantes del posgrado, a partir de la elaboración de convenios interinstitucionales que</w:t>
      </w:r>
      <w:r>
        <w:rPr>
          <w:rFonts w:asciiTheme="majorHAnsi" w:eastAsia="Helvetica Neue" w:hAnsiTheme="majorHAnsi" w:cstheme="majorHAnsi"/>
          <w:i w:val="0"/>
          <w:iCs w:val="0"/>
          <w:lang w:val="es-MX"/>
        </w:rPr>
        <w:t xml:space="preserve"> </w:t>
      </w:r>
      <w:r w:rsidRPr="00A3562A">
        <w:rPr>
          <w:rFonts w:asciiTheme="majorHAnsi" w:eastAsia="Helvetica Neue" w:hAnsiTheme="majorHAnsi" w:cstheme="majorHAnsi"/>
          <w:i w:val="0"/>
          <w:iCs w:val="0"/>
          <w:lang w:val="es-MX"/>
        </w:rPr>
        <w:t>permitan a los estudiantes del posgrado tener acompañamiento para la consecución de la</w:t>
      </w:r>
      <w:r>
        <w:rPr>
          <w:rFonts w:asciiTheme="majorHAnsi" w:eastAsia="Helvetica Neue" w:hAnsiTheme="majorHAnsi" w:cstheme="majorHAnsi"/>
          <w:i w:val="0"/>
          <w:iCs w:val="0"/>
          <w:lang w:val="es-MX"/>
        </w:rPr>
        <w:t xml:space="preserve"> </w:t>
      </w:r>
      <w:r w:rsidRPr="00A3562A">
        <w:rPr>
          <w:rFonts w:asciiTheme="majorHAnsi" w:eastAsia="Helvetica Neue" w:hAnsiTheme="majorHAnsi" w:cstheme="majorHAnsi"/>
          <w:i w:val="0"/>
          <w:iCs w:val="0"/>
          <w:lang w:val="es-MX"/>
        </w:rPr>
        <w:t xml:space="preserve">acreditación del idioma inglés en los términos que se describen en el apartado </w:t>
      </w:r>
      <w:r>
        <w:rPr>
          <w:rFonts w:asciiTheme="majorHAnsi" w:eastAsia="Helvetica Neue" w:hAnsiTheme="majorHAnsi" w:cstheme="majorHAnsi"/>
          <w:i w:val="0"/>
          <w:iCs w:val="0"/>
          <w:lang w:val="es-MX"/>
        </w:rPr>
        <w:t xml:space="preserve"> anterior.</w:t>
      </w:r>
    </w:p>
    <w:p w14:paraId="06882F6F" w14:textId="1402B870" w:rsidR="007604E5" w:rsidRPr="007604E5" w:rsidRDefault="007604E5" w:rsidP="007604E5">
      <w:pPr>
        <w:pStyle w:val="Prrafodelista"/>
        <w:pBdr>
          <w:top w:val="nil"/>
          <w:left w:val="nil"/>
          <w:bottom w:val="nil"/>
          <w:right w:val="nil"/>
          <w:between w:val="nil"/>
        </w:pBdr>
        <w:ind w:left="360"/>
        <w:jc w:val="both"/>
        <w:rPr>
          <w:rFonts w:asciiTheme="majorHAnsi" w:eastAsia="Helvetica Neue" w:hAnsiTheme="majorHAnsi" w:cstheme="majorHAnsi"/>
          <w:b/>
          <w:bCs/>
          <w:i w:val="0"/>
        </w:rPr>
      </w:pPr>
    </w:p>
    <w:p w14:paraId="61DE505B" w14:textId="77777777" w:rsidR="00204233" w:rsidRDefault="00683455" w:rsidP="00204233">
      <w:pPr>
        <w:pStyle w:val="Prrafodelista"/>
        <w:numPr>
          <w:ilvl w:val="0"/>
          <w:numId w:val="6"/>
        </w:numPr>
        <w:pBdr>
          <w:top w:val="nil"/>
          <w:left w:val="nil"/>
          <w:bottom w:val="nil"/>
          <w:right w:val="nil"/>
          <w:between w:val="nil"/>
        </w:pBdr>
        <w:jc w:val="both"/>
        <w:rPr>
          <w:rFonts w:asciiTheme="majorHAnsi" w:eastAsia="Helvetica Neue" w:hAnsiTheme="majorHAnsi" w:cstheme="majorHAnsi"/>
          <w:b/>
          <w:bCs/>
          <w:i w:val="0"/>
        </w:rPr>
      </w:pPr>
      <w:r w:rsidRPr="002F7E7F">
        <w:rPr>
          <w:rFonts w:asciiTheme="majorHAnsi" w:eastAsia="Helvetica Neue" w:hAnsiTheme="majorHAnsi" w:cstheme="majorHAnsi"/>
          <w:b/>
          <w:bCs/>
          <w:i w:val="0"/>
        </w:rPr>
        <w:t>T</w:t>
      </w:r>
      <w:r w:rsidR="00FD5EA4" w:rsidRPr="002F7E7F">
        <w:rPr>
          <w:rFonts w:asciiTheme="majorHAnsi" w:eastAsia="Helvetica Neue" w:hAnsiTheme="majorHAnsi" w:cstheme="majorHAnsi"/>
          <w:b/>
          <w:bCs/>
          <w:i w:val="0"/>
        </w:rPr>
        <w:t>iempos máximos y mínimos para completar los estudios</w:t>
      </w:r>
      <w:r w:rsidRPr="002F7E7F">
        <w:rPr>
          <w:rFonts w:asciiTheme="majorHAnsi" w:eastAsia="Helvetica Neue" w:hAnsiTheme="majorHAnsi" w:cstheme="majorHAnsi"/>
          <w:b/>
          <w:bCs/>
          <w:i w:val="0"/>
        </w:rPr>
        <w:t>.</w:t>
      </w:r>
      <w:r w:rsidR="00AD5A71" w:rsidRPr="002F7E7F">
        <w:rPr>
          <w:rFonts w:asciiTheme="majorHAnsi" w:eastAsia="Helvetica Neue" w:hAnsiTheme="majorHAnsi" w:cstheme="majorHAnsi"/>
          <w:b/>
          <w:bCs/>
          <w:i w:val="0"/>
        </w:rPr>
        <w:t xml:space="preserve"> </w:t>
      </w:r>
      <w:r w:rsidR="002F7E7F" w:rsidRPr="002F7E7F">
        <w:rPr>
          <w:rFonts w:asciiTheme="majorHAnsi" w:eastAsia="Helvetica Neue" w:hAnsiTheme="majorHAnsi" w:cstheme="majorHAnsi"/>
          <w:b/>
          <w:bCs/>
          <w:i w:val="0"/>
        </w:rPr>
        <w:t xml:space="preserve"> </w:t>
      </w:r>
      <w:r w:rsidR="00204233" w:rsidRPr="007604E5">
        <w:rPr>
          <w:rFonts w:asciiTheme="majorHAnsi" w:eastAsia="Helvetica Neue" w:hAnsiTheme="majorHAnsi" w:cstheme="majorHAnsi"/>
          <w:b/>
          <w:bCs/>
          <w:i w:val="0"/>
        </w:rPr>
        <w:t>(LINEAMIENTOS NORMATIVOS DGESUM)</w:t>
      </w:r>
    </w:p>
    <w:p w14:paraId="13B3B582" w14:textId="77777777" w:rsidR="002F7E7F" w:rsidRDefault="002F7E7F" w:rsidP="002F7E7F">
      <w:pPr>
        <w:pStyle w:val="Prrafodelista"/>
        <w:pBdr>
          <w:top w:val="nil"/>
          <w:left w:val="nil"/>
          <w:bottom w:val="nil"/>
          <w:right w:val="nil"/>
          <w:between w:val="nil"/>
        </w:pBdr>
        <w:ind w:left="360"/>
        <w:jc w:val="both"/>
        <w:rPr>
          <w:rFonts w:asciiTheme="majorHAnsi" w:eastAsia="Helvetica Neue" w:hAnsiTheme="majorHAnsi" w:cstheme="majorHAnsi"/>
          <w:i w:val="0"/>
        </w:rPr>
      </w:pPr>
      <w:r w:rsidRPr="002F7E7F">
        <w:rPr>
          <w:rFonts w:asciiTheme="majorHAnsi" w:eastAsia="Helvetica Neue" w:hAnsiTheme="majorHAnsi" w:cstheme="majorHAnsi"/>
          <w:i w:val="0"/>
        </w:rPr>
        <w:t>También es importante establecer los tiempos reglamentarios para la obtención del</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grado, una vez cubiertos los créditos académicos, y con base en los límites normativos</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recomendables en función del tiempo de dedicación (tiempo completo o medio tiempo)</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guardando congruencia con el grado: Especialidad, Maestría o Doctorado y la orientación</w:t>
      </w:r>
      <w:r>
        <w:rPr>
          <w:rFonts w:asciiTheme="majorHAnsi" w:eastAsia="Helvetica Neue" w:hAnsiTheme="majorHAnsi" w:cstheme="majorHAnsi"/>
          <w:i w:val="0"/>
        </w:rPr>
        <w:t xml:space="preserve"> </w:t>
      </w:r>
      <w:r w:rsidRPr="002F7E7F">
        <w:rPr>
          <w:rFonts w:asciiTheme="majorHAnsi" w:eastAsia="Helvetica Neue" w:hAnsiTheme="majorHAnsi" w:cstheme="majorHAnsi"/>
          <w:i w:val="0"/>
        </w:rPr>
        <w:t>del programa educativo.</w:t>
      </w:r>
    </w:p>
    <w:p w14:paraId="6B00D893" w14:textId="77777777" w:rsidR="00F84A1D" w:rsidRDefault="00F84A1D" w:rsidP="002F7E7F">
      <w:pPr>
        <w:pStyle w:val="Prrafodelista"/>
        <w:pBdr>
          <w:top w:val="nil"/>
          <w:left w:val="nil"/>
          <w:bottom w:val="nil"/>
          <w:right w:val="nil"/>
          <w:between w:val="nil"/>
        </w:pBdr>
        <w:ind w:left="360"/>
        <w:jc w:val="both"/>
        <w:rPr>
          <w:rFonts w:asciiTheme="majorHAnsi" w:eastAsia="Helvetica Neue" w:hAnsiTheme="majorHAnsi" w:cstheme="majorHAnsi"/>
          <w:i w:val="0"/>
        </w:rPr>
      </w:pPr>
    </w:p>
    <w:p w14:paraId="7468364B" w14:textId="3D46D636" w:rsidR="00F84A1D" w:rsidRPr="00F84A1D"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 xml:space="preserve">Derechos y obligaciones de los alumnos. </w:t>
      </w:r>
    </w:p>
    <w:p w14:paraId="2CBBB051" w14:textId="0F3B62BC" w:rsidR="00F84A1D" w:rsidRPr="00F84A1D"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 xml:space="preserve">Tipos de baja de alumnos y el procedimiento respectivo. </w:t>
      </w:r>
    </w:p>
    <w:p w14:paraId="66B27CCD" w14:textId="77777777" w:rsidR="00FD5EA4" w:rsidRPr="000153BF"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Reglas para el otorgamiento de becas conforme a las disposiciones generales de la Ley General de Educación, (Artículo 149, fracción III), Ley General de Educación Superior, (Artículo 70) y las demás disposiciones de carácter estatal que se emitan para este fin.</w:t>
      </w:r>
    </w:p>
    <w:p w14:paraId="686ABA55" w14:textId="77777777" w:rsidR="00FD5EA4" w:rsidRPr="000153BF"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 xml:space="preserve">Requisitos y procedimientos de evaluación y acreditación de los alumnos. </w:t>
      </w:r>
    </w:p>
    <w:p w14:paraId="617B445D" w14:textId="77777777" w:rsidR="00FD5EA4" w:rsidRPr="000153BF"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Reglas para la movilidad estudiantil.</w:t>
      </w:r>
    </w:p>
    <w:p w14:paraId="395DFEFF" w14:textId="77777777" w:rsidR="00FD5EA4" w:rsidRPr="000153BF"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Requisitos para solicitar la expedición de certificados de estudios, parciales o totales, y de títulos, diplomas o grados, según corresponda.</w:t>
      </w:r>
    </w:p>
    <w:p w14:paraId="660C6203" w14:textId="77777777" w:rsidR="00FD5EA4" w:rsidRPr="000153BF"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Instancia competente de la institución y procedimiento para la atención de quejas derivadas de la prestación del servicio educativo por parte del particular.</w:t>
      </w:r>
    </w:p>
    <w:p w14:paraId="04190414" w14:textId="77777777" w:rsidR="00FD5EA4" w:rsidRDefault="00FD5EA4" w:rsidP="00F84A1D">
      <w:pPr>
        <w:pStyle w:val="Prrafodelista"/>
        <w:numPr>
          <w:ilvl w:val="0"/>
          <w:numId w:val="6"/>
        </w:numPr>
        <w:pBdr>
          <w:top w:val="nil"/>
          <w:left w:val="nil"/>
          <w:bottom w:val="nil"/>
          <w:right w:val="nil"/>
          <w:between w:val="nil"/>
        </w:pBdr>
        <w:spacing w:line="480" w:lineRule="auto"/>
        <w:jc w:val="both"/>
        <w:rPr>
          <w:rFonts w:asciiTheme="majorHAnsi" w:eastAsia="Helvetica Neue" w:hAnsiTheme="majorHAnsi" w:cstheme="majorHAnsi"/>
          <w:b/>
          <w:bCs/>
          <w:i w:val="0"/>
        </w:rPr>
      </w:pPr>
      <w:r w:rsidRPr="000153BF">
        <w:rPr>
          <w:rFonts w:asciiTheme="majorHAnsi" w:eastAsia="Helvetica Neue" w:hAnsiTheme="majorHAnsi" w:cstheme="majorHAnsi"/>
          <w:b/>
          <w:bCs/>
          <w:i w:val="0"/>
        </w:rPr>
        <w:t>Medidas disciplinarias e infracciones, que se impondrán en casos de acoso escolar, acoso sexual o plagio académico, así como establecer protocolos y procedimientos a seguir. Asimismo, se deberá prever que ante la existencia de un posible hecho constitutivo de delito, el Particular realizará las acciones que resulten procedentes ante las instancias competentes, conforme a las disposiciones jurídicas aplicables.</w:t>
      </w:r>
    </w:p>
    <w:p w14:paraId="5F2E7E9D" w14:textId="77777777" w:rsidR="00F84A1D" w:rsidRDefault="00F84A1D" w:rsidP="00F84A1D">
      <w:pPr>
        <w:pStyle w:val="Prrafodelista"/>
        <w:pBdr>
          <w:top w:val="nil"/>
          <w:left w:val="nil"/>
          <w:bottom w:val="nil"/>
          <w:right w:val="nil"/>
          <w:between w:val="nil"/>
        </w:pBdr>
        <w:spacing w:line="480" w:lineRule="auto"/>
        <w:ind w:left="360"/>
        <w:jc w:val="both"/>
        <w:rPr>
          <w:rFonts w:asciiTheme="majorHAnsi" w:eastAsia="Helvetica Neue" w:hAnsiTheme="majorHAnsi" w:cstheme="majorHAnsi"/>
          <w:b/>
          <w:bCs/>
          <w:i w:val="0"/>
        </w:rPr>
      </w:pPr>
    </w:p>
    <w:p w14:paraId="6EBBEA94" w14:textId="77777777" w:rsidR="00F84A1D" w:rsidRPr="000153BF" w:rsidRDefault="00F84A1D" w:rsidP="00F84A1D">
      <w:pPr>
        <w:pStyle w:val="Prrafodelista"/>
        <w:pBdr>
          <w:top w:val="nil"/>
          <w:left w:val="nil"/>
          <w:bottom w:val="nil"/>
          <w:right w:val="nil"/>
          <w:between w:val="nil"/>
        </w:pBdr>
        <w:spacing w:line="480" w:lineRule="auto"/>
        <w:ind w:left="360"/>
        <w:jc w:val="both"/>
        <w:rPr>
          <w:rFonts w:asciiTheme="majorHAnsi" w:eastAsia="Helvetica Neue" w:hAnsiTheme="majorHAnsi" w:cstheme="majorHAnsi"/>
          <w:b/>
          <w:bCs/>
          <w:i w:val="0"/>
        </w:rPr>
      </w:pPr>
    </w:p>
    <w:p w14:paraId="4EBE37D3" w14:textId="4BB0C16F" w:rsidR="00FD5EA4" w:rsidRPr="000153BF" w:rsidRDefault="000153BF" w:rsidP="000153BF">
      <w:pPr>
        <w:pStyle w:val="Prrafodelista"/>
        <w:numPr>
          <w:ilvl w:val="0"/>
          <w:numId w:val="6"/>
        </w:numPr>
        <w:autoSpaceDE w:val="0"/>
        <w:autoSpaceDN w:val="0"/>
        <w:adjustRightInd w:val="0"/>
        <w:rPr>
          <w:rFonts w:asciiTheme="majorHAnsi" w:eastAsia="Helvetica Neue" w:hAnsiTheme="majorHAnsi" w:cstheme="majorHAnsi"/>
          <w:b/>
          <w:bCs/>
          <w:i w:val="0"/>
        </w:rPr>
      </w:pPr>
      <w:r w:rsidRPr="000153BF">
        <w:rPr>
          <w:rFonts w:asciiTheme="majorHAnsi" w:eastAsia="Helvetica Neue" w:hAnsiTheme="majorHAnsi" w:cstheme="majorHAnsi"/>
          <w:b/>
          <w:bCs/>
          <w:i w:val="0"/>
        </w:rPr>
        <w:t>Valoración, actualización permanente y v</w:t>
      </w:r>
      <w:r w:rsidR="00FD5EA4" w:rsidRPr="000153BF">
        <w:rPr>
          <w:rFonts w:asciiTheme="majorHAnsi" w:eastAsia="Helvetica Neue" w:hAnsiTheme="majorHAnsi" w:cstheme="majorHAnsi"/>
          <w:b/>
          <w:bCs/>
          <w:i w:val="0"/>
        </w:rPr>
        <w:t>igencia del</w:t>
      </w:r>
      <w:r w:rsidRPr="000153BF">
        <w:rPr>
          <w:rFonts w:asciiTheme="majorHAnsi" w:eastAsia="Helvetica Neue" w:hAnsiTheme="majorHAnsi" w:cstheme="majorHAnsi"/>
          <w:b/>
          <w:bCs/>
          <w:i w:val="0"/>
        </w:rPr>
        <w:t xml:space="preserve"> Reglamento del Programa de Posgrado</w:t>
      </w:r>
      <w:r w:rsidR="00FD5EA4" w:rsidRPr="000153BF">
        <w:rPr>
          <w:rFonts w:asciiTheme="majorHAnsi" w:eastAsia="Helvetica Neue" w:hAnsiTheme="majorHAnsi" w:cstheme="majorHAnsi"/>
          <w:b/>
          <w:bCs/>
          <w:i w:val="0"/>
        </w:rPr>
        <w:t xml:space="preserve">, así como los medios a través de los cuales </w:t>
      </w:r>
      <w:r w:rsidRPr="000153BF">
        <w:rPr>
          <w:rFonts w:asciiTheme="majorHAnsi" w:eastAsia="Helvetica Neue" w:hAnsiTheme="majorHAnsi" w:cstheme="majorHAnsi"/>
          <w:b/>
          <w:bCs/>
          <w:i w:val="0"/>
        </w:rPr>
        <w:t>la institución</w:t>
      </w:r>
      <w:r w:rsidR="00FD5EA4" w:rsidRPr="000153BF">
        <w:rPr>
          <w:rFonts w:asciiTheme="majorHAnsi" w:eastAsia="Helvetica Neue" w:hAnsiTheme="majorHAnsi" w:cstheme="majorHAnsi"/>
          <w:b/>
          <w:bCs/>
          <w:i w:val="0"/>
        </w:rPr>
        <w:t xml:space="preserve"> promoverá la difusión y publicidad de éste entre los alumnos. </w:t>
      </w:r>
      <w:r w:rsidR="00461D70" w:rsidRPr="00461D70">
        <w:rPr>
          <w:rFonts w:asciiTheme="majorHAnsi" w:eastAsia="Helvetica Neue" w:hAnsiTheme="majorHAnsi" w:cstheme="majorHAnsi"/>
          <w:b/>
          <w:bCs/>
          <w:i w:val="0"/>
        </w:rPr>
        <w:t>(LINEAMIENTOS NORMATIVOS DGESUM)</w:t>
      </w:r>
      <w:r w:rsidRPr="000153BF">
        <w:rPr>
          <w:rFonts w:asciiTheme="majorHAnsi" w:eastAsia="Helvetica Neue" w:hAnsiTheme="majorHAnsi" w:cstheme="majorHAnsi"/>
          <w:b/>
          <w:bCs/>
          <w:i w:val="0"/>
        </w:rPr>
        <w:t xml:space="preserve"> </w:t>
      </w:r>
    </w:p>
    <w:p w14:paraId="64B9AD4E" w14:textId="1CFDB9C7" w:rsidR="000153BF" w:rsidRPr="00461D70" w:rsidRDefault="000153BF" w:rsidP="000153BF">
      <w:pPr>
        <w:pStyle w:val="Prrafodelista"/>
        <w:autoSpaceDE w:val="0"/>
        <w:autoSpaceDN w:val="0"/>
        <w:adjustRightInd w:val="0"/>
        <w:ind w:left="360"/>
        <w:rPr>
          <w:rFonts w:asciiTheme="majorHAnsi" w:eastAsia="Helvetica Neue" w:hAnsiTheme="majorHAnsi" w:cstheme="majorHAnsi"/>
          <w:i w:val="0"/>
        </w:rPr>
      </w:pPr>
      <w:r w:rsidRPr="000153BF">
        <w:rPr>
          <w:rFonts w:asciiTheme="majorHAnsi" w:eastAsia="Helvetica Neue" w:hAnsiTheme="majorHAnsi" w:cstheme="majorHAnsi"/>
          <w:i w:val="0"/>
        </w:rPr>
        <w:t>Cada posgrado tendrá que diseñar e instituir un seminario permanente, el cual deberá sesionar</w:t>
      </w:r>
      <w:r>
        <w:rPr>
          <w:rFonts w:asciiTheme="majorHAnsi" w:eastAsia="Helvetica Neue" w:hAnsiTheme="majorHAnsi" w:cstheme="majorHAnsi"/>
          <w:i w:val="0"/>
        </w:rPr>
        <w:t xml:space="preserve"> </w:t>
      </w:r>
      <w:r w:rsidRPr="000153BF">
        <w:rPr>
          <w:rFonts w:asciiTheme="majorHAnsi" w:eastAsia="Helvetica Neue" w:hAnsiTheme="majorHAnsi" w:cstheme="majorHAnsi"/>
          <w:i w:val="0"/>
        </w:rPr>
        <w:t>al menos una vez al mes, el propósito fundamental de esta actividad será analizar, definir y</w:t>
      </w:r>
      <w:r>
        <w:rPr>
          <w:rFonts w:asciiTheme="majorHAnsi" w:eastAsia="Helvetica Neue" w:hAnsiTheme="majorHAnsi" w:cstheme="majorHAnsi"/>
          <w:i w:val="0"/>
        </w:rPr>
        <w:t xml:space="preserve"> e</w:t>
      </w:r>
      <w:r w:rsidRPr="000153BF">
        <w:rPr>
          <w:rFonts w:asciiTheme="majorHAnsi" w:eastAsia="Helvetica Neue" w:hAnsiTheme="majorHAnsi" w:cstheme="majorHAnsi"/>
          <w:i w:val="0"/>
        </w:rPr>
        <w:t>valuar ent</w:t>
      </w:r>
      <w:r>
        <w:rPr>
          <w:rFonts w:asciiTheme="majorHAnsi" w:eastAsia="Helvetica Neue" w:hAnsiTheme="majorHAnsi" w:cstheme="majorHAnsi"/>
          <w:i w:val="0"/>
        </w:rPr>
        <w:t>r</w:t>
      </w:r>
      <w:r w:rsidRPr="000153BF">
        <w:rPr>
          <w:rFonts w:asciiTheme="majorHAnsi" w:eastAsia="Helvetica Neue" w:hAnsiTheme="majorHAnsi" w:cstheme="majorHAnsi"/>
          <w:i w:val="0"/>
        </w:rPr>
        <w:t xml:space="preserve">e otros el </w:t>
      </w:r>
      <w:r w:rsidRPr="00461D70">
        <w:rPr>
          <w:rFonts w:asciiTheme="majorHAnsi" w:eastAsia="Helvetica Neue" w:hAnsiTheme="majorHAnsi" w:cstheme="majorHAnsi"/>
          <w:i w:val="0"/>
        </w:rPr>
        <w:t xml:space="preserve">Reglamento del Programa de Posgrado. </w:t>
      </w:r>
    </w:p>
    <w:p w14:paraId="0B7BD94A" w14:textId="423A663F" w:rsidR="000153BF" w:rsidRDefault="000153BF" w:rsidP="000153BF">
      <w:pPr>
        <w:pStyle w:val="Prrafodelista"/>
        <w:autoSpaceDE w:val="0"/>
        <w:autoSpaceDN w:val="0"/>
        <w:adjustRightInd w:val="0"/>
        <w:ind w:left="360"/>
        <w:rPr>
          <w:rFonts w:asciiTheme="majorHAnsi" w:eastAsia="Helvetica Neue" w:hAnsiTheme="majorHAnsi" w:cstheme="majorHAnsi"/>
          <w:b/>
          <w:bCs/>
          <w:i w:val="0"/>
        </w:rPr>
      </w:pPr>
    </w:p>
    <w:p w14:paraId="623C47A9" w14:textId="77777777" w:rsidR="000153BF" w:rsidRPr="000153BF" w:rsidRDefault="000153BF" w:rsidP="000153BF">
      <w:pPr>
        <w:pStyle w:val="Prrafodelista"/>
        <w:autoSpaceDE w:val="0"/>
        <w:autoSpaceDN w:val="0"/>
        <w:adjustRightInd w:val="0"/>
        <w:ind w:left="360"/>
        <w:rPr>
          <w:rFonts w:asciiTheme="majorHAnsi" w:eastAsia="Helvetica Neue" w:hAnsiTheme="majorHAnsi" w:cstheme="majorHAnsi"/>
          <w:i w:val="0"/>
        </w:rPr>
      </w:pPr>
    </w:p>
    <w:p w14:paraId="72707B35" w14:textId="77777777" w:rsidR="00695A1B" w:rsidRDefault="00695A1B" w:rsidP="00695A1B">
      <w:pPr>
        <w:pBdr>
          <w:top w:val="nil"/>
          <w:left w:val="nil"/>
          <w:bottom w:val="nil"/>
          <w:right w:val="nil"/>
          <w:between w:val="nil"/>
        </w:pBdr>
        <w:jc w:val="both"/>
        <w:rPr>
          <w:rFonts w:asciiTheme="majorHAnsi" w:eastAsia="Helvetica Neue" w:hAnsiTheme="majorHAnsi" w:cstheme="majorHAnsi"/>
        </w:rPr>
      </w:pPr>
    </w:p>
    <w:p w14:paraId="60338D20" w14:textId="77777777" w:rsidR="00695A1B" w:rsidRDefault="00695A1B" w:rsidP="00695A1B">
      <w:pPr>
        <w:pBdr>
          <w:top w:val="nil"/>
          <w:left w:val="nil"/>
          <w:bottom w:val="nil"/>
          <w:right w:val="nil"/>
          <w:between w:val="nil"/>
        </w:pBdr>
        <w:jc w:val="both"/>
        <w:rPr>
          <w:rFonts w:asciiTheme="majorHAnsi" w:eastAsia="Helvetica Neue" w:hAnsiTheme="majorHAnsi" w:cstheme="majorHAnsi"/>
        </w:rPr>
      </w:pPr>
    </w:p>
    <w:p w14:paraId="34B9DB9E" w14:textId="77777777" w:rsidR="00695A1B" w:rsidRDefault="00695A1B" w:rsidP="00695A1B">
      <w:pPr>
        <w:pBdr>
          <w:top w:val="nil"/>
          <w:left w:val="nil"/>
          <w:bottom w:val="nil"/>
          <w:right w:val="nil"/>
          <w:between w:val="nil"/>
        </w:pBdr>
        <w:jc w:val="both"/>
        <w:rPr>
          <w:rFonts w:asciiTheme="majorHAnsi" w:eastAsia="Helvetica Neue" w:hAnsiTheme="majorHAnsi" w:cstheme="majorHAnsi"/>
        </w:rPr>
      </w:pPr>
    </w:p>
    <w:p w14:paraId="592B11D1" w14:textId="77777777" w:rsidR="00695A1B" w:rsidRPr="00695A1B" w:rsidRDefault="00695A1B" w:rsidP="00695A1B">
      <w:pPr>
        <w:pBdr>
          <w:top w:val="nil"/>
          <w:left w:val="nil"/>
          <w:bottom w:val="nil"/>
          <w:right w:val="nil"/>
          <w:between w:val="nil"/>
        </w:pBdr>
        <w:jc w:val="both"/>
        <w:rPr>
          <w:rFonts w:asciiTheme="majorHAnsi" w:eastAsia="Helvetica Neue" w:hAnsiTheme="majorHAnsi" w:cstheme="majorHAnsi"/>
        </w:rPr>
      </w:pPr>
    </w:p>
    <w:p w14:paraId="2B14D6D4" w14:textId="77777777" w:rsidR="00FD5EA4" w:rsidRPr="00552C05" w:rsidRDefault="00FD5EA4" w:rsidP="00FD5EA4">
      <w:pPr>
        <w:tabs>
          <w:tab w:val="left" w:pos="709"/>
        </w:tabs>
        <w:spacing w:after="40"/>
        <w:jc w:val="center"/>
        <w:rPr>
          <w:rFonts w:asciiTheme="majorHAnsi" w:eastAsia="Helvetica Neue" w:hAnsiTheme="majorHAnsi" w:cstheme="majorHAnsi"/>
          <w:sz w:val="20"/>
          <w:szCs w:val="20"/>
        </w:rPr>
      </w:pPr>
      <w:r w:rsidRPr="00552C05">
        <w:rPr>
          <w:rFonts w:asciiTheme="majorHAnsi" w:eastAsia="Helvetica Neue" w:hAnsiTheme="majorHAnsi" w:cstheme="majorHAnsi"/>
          <w:sz w:val="20"/>
          <w:szCs w:val="20"/>
        </w:rPr>
        <w:t>___________________________________</w:t>
      </w:r>
    </w:p>
    <w:p w14:paraId="59825EBA" w14:textId="77777777" w:rsidR="00FD5EA4" w:rsidRPr="00552C05" w:rsidRDefault="00FD5EA4" w:rsidP="00FD5EA4">
      <w:pPr>
        <w:tabs>
          <w:tab w:val="left" w:pos="709"/>
        </w:tabs>
        <w:spacing w:after="40"/>
        <w:jc w:val="center"/>
        <w:rPr>
          <w:rFonts w:asciiTheme="majorHAnsi" w:eastAsia="Helvetica Neue" w:hAnsiTheme="majorHAnsi" w:cstheme="majorHAnsi"/>
          <w:b/>
          <w:bCs/>
          <w:sz w:val="20"/>
          <w:szCs w:val="20"/>
        </w:rPr>
      </w:pPr>
      <w:r w:rsidRPr="00552C05">
        <w:rPr>
          <w:rFonts w:asciiTheme="majorHAnsi" w:eastAsia="Helvetica Neue" w:hAnsiTheme="majorHAnsi" w:cstheme="majorHAnsi"/>
          <w:b/>
          <w:bCs/>
          <w:sz w:val="20"/>
          <w:szCs w:val="20"/>
        </w:rPr>
        <w:t>Nombre y firma del solicitante</w:t>
      </w:r>
    </w:p>
    <w:p w14:paraId="7978EBFE" w14:textId="77777777" w:rsidR="00BA2E6B" w:rsidRPr="00552C05" w:rsidRDefault="001D6CFD" w:rsidP="00DA3511">
      <w:pPr>
        <w:pBdr>
          <w:top w:val="nil"/>
          <w:left w:val="nil"/>
          <w:bottom w:val="nil"/>
          <w:right w:val="nil"/>
          <w:between w:val="nil"/>
        </w:pBdr>
        <w:spacing w:line="288" w:lineRule="auto"/>
        <w:ind w:left="-426"/>
        <w:jc w:val="both"/>
        <w:rPr>
          <w:rFonts w:asciiTheme="majorHAnsi" w:eastAsia="Helvetica Neue" w:hAnsiTheme="majorHAnsi" w:cstheme="majorHAnsi"/>
          <w:sz w:val="20"/>
          <w:szCs w:val="20"/>
        </w:rPr>
      </w:pPr>
      <w:r w:rsidRPr="00552C05">
        <w:rPr>
          <w:rFonts w:asciiTheme="majorHAnsi" w:eastAsia="Helvetica Neue" w:hAnsiTheme="majorHAnsi" w:cstheme="majorHAnsi"/>
          <w:sz w:val="20"/>
          <w:szCs w:val="20"/>
        </w:rPr>
        <w:t xml:space="preserve"> </w:t>
      </w:r>
    </w:p>
    <w:p w14:paraId="2F027B17" w14:textId="77777777" w:rsidR="00233883" w:rsidRPr="00552C05" w:rsidRDefault="00233883">
      <w:pPr>
        <w:jc w:val="both"/>
        <w:rPr>
          <w:rFonts w:asciiTheme="majorHAnsi" w:eastAsia="Helvetica Neue" w:hAnsiTheme="majorHAnsi" w:cstheme="majorHAnsi"/>
          <w:sz w:val="20"/>
          <w:szCs w:val="20"/>
        </w:rPr>
      </w:pPr>
    </w:p>
    <w:p w14:paraId="0D38F91A" w14:textId="77777777" w:rsidR="00BA2E6B" w:rsidRPr="00552C05" w:rsidRDefault="00BA2E6B" w:rsidP="00DA3511">
      <w:pPr>
        <w:rPr>
          <w:rFonts w:asciiTheme="majorHAnsi" w:eastAsia="Helvetica Neue" w:hAnsiTheme="majorHAnsi" w:cstheme="majorHAnsi"/>
          <w:b/>
          <w:sz w:val="20"/>
          <w:szCs w:val="20"/>
        </w:rPr>
      </w:pPr>
    </w:p>
    <w:p w14:paraId="5DB90275" w14:textId="77777777" w:rsidR="004F1BCE" w:rsidRPr="00552C05" w:rsidRDefault="004F1BCE" w:rsidP="00DA3511">
      <w:pPr>
        <w:rPr>
          <w:rFonts w:asciiTheme="majorHAnsi" w:eastAsia="Helvetica Neue" w:hAnsiTheme="majorHAnsi" w:cstheme="majorHAnsi"/>
          <w:b/>
          <w:sz w:val="20"/>
          <w:szCs w:val="20"/>
        </w:rPr>
      </w:pPr>
    </w:p>
    <w:p w14:paraId="1DA01C32" w14:textId="77777777" w:rsidR="00BA2E6B" w:rsidRPr="00552C05" w:rsidRDefault="00FC6504" w:rsidP="00FC6504">
      <w:pPr>
        <w:tabs>
          <w:tab w:val="left" w:pos="5244"/>
        </w:tabs>
        <w:ind w:left="706" w:hanging="706"/>
        <w:rPr>
          <w:rFonts w:asciiTheme="majorHAnsi" w:eastAsia="Helvetica Neue" w:hAnsiTheme="majorHAnsi" w:cstheme="majorHAnsi"/>
          <w:b/>
          <w:sz w:val="20"/>
          <w:szCs w:val="20"/>
        </w:rPr>
      </w:pPr>
      <w:r w:rsidRPr="00552C05">
        <w:rPr>
          <w:rFonts w:asciiTheme="majorHAnsi" w:eastAsia="Helvetica Neue" w:hAnsiTheme="majorHAnsi" w:cstheme="majorHAnsi"/>
          <w:b/>
          <w:sz w:val="20"/>
          <w:szCs w:val="20"/>
        </w:rPr>
        <w:tab/>
      </w:r>
      <w:r w:rsidRPr="00552C05">
        <w:rPr>
          <w:rFonts w:asciiTheme="majorHAnsi" w:eastAsia="Helvetica Neue" w:hAnsiTheme="majorHAnsi" w:cstheme="majorHAnsi"/>
          <w:b/>
          <w:sz w:val="20"/>
          <w:szCs w:val="20"/>
        </w:rPr>
        <w:tab/>
      </w:r>
    </w:p>
    <w:p w14:paraId="22666DE7" w14:textId="77777777" w:rsidR="00FC6504" w:rsidRPr="00552C05" w:rsidRDefault="00FC6504" w:rsidP="00FC6504">
      <w:pPr>
        <w:tabs>
          <w:tab w:val="left" w:pos="5244"/>
        </w:tabs>
        <w:ind w:left="706" w:hanging="706"/>
        <w:rPr>
          <w:rFonts w:asciiTheme="majorHAnsi" w:eastAsia="Helvetica Neue" w:hAnsiTheme="majorHAnsi" w:cstheme="majorHAnsi"/>
          <w:b/>
          <w:sz w:val="20"/>
          <w:szCs w:val="20"/>
        </w:rPr>
      </w:pPr>
    </w:p>
    <w:p w14:paraId="4E92F230" w14:textId="77777777" w:rsidR="00FC6504" w:rsidRPr="00552C05" w:rsidRDefault="00FC6504" w:rsidP="00FC6504">
      <w:pPr>
        <w:tabs>
          <w:tab w:val="left" w:pos="5244"/>
        </w:tabs>
        <w:ind w:left="706" w:hanging="706"/>
        <w:rPr>
          <w:rFonts w:asciiTheme="majorHAnsi" w:eastAsia="Helvetica Neue" w:hAnsiTheme="majorHAnsi" w:cstheme="majorHAnsi"/>
          <w:b/>
          <w:sz w:val="20"/>
          <w:szCs w:val="20"/>
        </w:rPr>
      </w:pPr>
    </w:p>
    <w:p w14:paraId="7661E8E9" w14:textId="77777777" w:rsidR="00AE77C0" w:rsidRPr="00552C05" w:rsidRDefault="00AE77C0">
      <w:pPr>
        <w:ind w:left="706" w:hanging="706"/>
        <w:jc w:val="center"/>
        <w:rPr>
          <w:rFonts w:asciiTheme="majorHAnsi" w:eastAsia="Helvetica Neue" w:hAnsiTheme="majorHAnsi" w:cstheme="majorHAnsi"/>
          <w:b/>
          <w:sz w:val="20"/>
          <w:szCs w:val="20"/>
        </w:rPr>
      </w:pPr>
    </w:p>
    <w:p w14:paraId="25312BCE" w14:textId="77777777" w:rsidR="00233883" w:rsidRPr="00552C05" w:rsidRDefault="00233883">
      <w:pPr>
        <w:tabs>
          <w:tab w:val="left" w:pos="6083"/>
        </w:tabs>
        <w:rPr>
          <w:rFonts w:asciiTheme="majorHAnsi" w:eastAsia="Helvetica Neue" w:hAnsiTheme="majorHAnsi" w:cstheme="majorHAnsi"/>
          <w:sz w:val="20"/>
          <w:szCs w:val="20"/>
        </w:rPr>
      </w:pPr>
    </w:p>
    <w:sectPr w:rsidR="00233883" w:rsidRPr="00552C05" w:rsidSect="00695A1B">
      <w:headerReference w:type="default" r:id="rId10"/>
      <w:footerReference w:type="default" r:id="rId11"/>
      <w:pgSz w:w="12240" w:h="15840"/>
      <w:pgMar w:top="2552" w:right="1325"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042A" w14:textId="77777777" w:rsidR="00D272FE" w:rsidRDefault="00D272FE">
      <w:r>
        <w:separator/>
      </w:r>
    </w:p>
  </w:endnote>
  <w:endnote w:type="continuationSeparator" w:id="0">
    <w:p w14:paraId="53B296C0" w14:textId="77777777" w:rsidR="00D272FE" w:rsidRDefault="00D2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w:hAnsi="Helvetica"/>
        <w:sz w:val="18"/>
        <w:szCs w:val="18"/>
      </w:rPr>
      <w:id w:val="6044400"/>
      <w:docPartObj>
        <w:docPartGallery w:val="Page Numbers (Bottom of Page)"/>
        <w:docPartUnique/>
      </w:docPartObj>
    </w:sdtPr>
    <w:sdtContent>
      <w:p w14:paraId="4B52272E" w14:textId="0EFAFD47" w:rsidR="00F8776D" w:rsidRPr="00165173" w:rsidRDefault="005909C6" w:rsidP="00100E70">
        <w:pPr>
          <w:pStyle w:val="Piedepgina"/>
          <w:jc w:val="center"/>
          <w:rPr>
            <w:rFonts w:ascii="Helvetica" w:hAnsi="Helvetica"/>
            <w:sz w:val="18"/>
            <w:szCs w:val="18"/>
          </w:rPr>
        </w:pPr>
        <w:r w:rsidRPr="00820DB8">
          <w:rPr>
            <w:rFonts w:ascii="Helvetica" w:hAnsi="Helvetica"/>
            <w:noProof/>
            <w:sz w:val="18"/>
            <w:szCs w:val="18"/>
            <w:lang w:val="es-MX"/>
          </w:rPr>
          <w:drawing>
            <wp:anchor distT="0" distB="0" distL="114300" distR="114300" simplePos="0" relativeHeight="251661312" behindDoc="1" locked="0" layoutInCell="1" allowOverlap="1" wp14:anchorId="6FCE4892" wp14:editId="3547F259">
              <wp:simplePos x="0" y="0"/>
              <wp:positionH relativeFrom="column">
                <wp:posOffset>3242310</wp:posOffset>
              </wp:positionH>
              <wp:positionV relativeFrom="paragraph">
                <wp:posOffset>-1807845</wp:posOffset>
              </wp:positionV>
              <wp:extent cx="3537857" cy="2492512"/>
              <wp:effectExtent l="0" t="0" r="5715" b="3175"/>
              <wp:wrapNone/>
              <wp:docPr id="2"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857" cy="2492512"/>
                      </a:xfrm>
                      <a:prstGeom prst="rect">
                        <a:avLst/>
                      </a:prstGeom>
                    </pic:spPr>
                  </pic:pic>
                </a:graphicData>
              </a:graphic>
            </wp:anchor>
          </w:drawing>
        </w:r>
        <w:r w:rsidR="00F341B6" w:rsidRPr="00165173">
          <w:rPr>
            <w:rFonts w:ascii="Helvetica" w:hAnsi="Helvetica"/>
            <w:color w:val="404040" w:themeColor="text1" w:themeTint="BF"/>
            <w:sz w:val="18"/>
            <w:szCs w:val="18"/>
          </w:rPr>
          <w:fldChar w:fldCharType="begin"/>
        </w:r>
        <w:r w:rsidR="00F8776D" w:rsidRPr="00165173">
          <w:rPr>
            <w:rFonts w:ascii="Helvetica" w:hAnsi="Helvetica"/>
            <w:color w:val="404040" w:themeColor="text1" w:themeTint="BF"/>
            <w:sz w:val="18"/>
            <w:szCs w:val="18"/>
          </w:rPr>
          <w:instrText xml:space="preserve"> PAGE   \* MERGEFORMAT </w:instrText>
        </w:r>
        <w:r w:rsidR="00F341B6" w:rsidRPr="00165173">
          <w:rPr>
            <w:rFonts w:ascii="Helvetica" w:hAnsi="Helvetica"/>
            <w:color w:val="404040" w:themeColor="text1" w:themeTint="BF"/>
            <w:sz w:val="18"/>
            <w:szCs w:val="18"/>
          </w:rPr>
          <w:fldChar w:fldCharType="separate"/>
        </w:r>
        <w:r w:rsidR="00612AE9">
          <w:rPr>
            <w:rFonts w:ascii="Helvetica" w:hAnsi="Helvetica"/>
            <w:noProof/>
            <w:color w:val="404040" w:themeColor="text1" w:themeTint="BF"/>
            <w:sz w:val="18"/>
            <w:szCs w:val="18"/>
          </w:rPr>
          <w:t>5</w:t>
        </w:r>
        <w:r w:rsidR="00F341B6" w:rsidRPr="00165173">
          <w:rPr>
            <w:rFonts w:ascii="Helvetica" w:hAnsi="Helvetica"/>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D2B1" w14:textId="77777777" w:rsidR="00D272FE" w:rsidRDefault="00D272FE">
      <w:r>
        <w:separator/>
      </w:r>
    </w:p>
  </w:footnote>
  <w:footnote w:type="continuationSeparator" w:id="0">
    <w:p w14:paraId="369E3F38" w14:textId="77777777" w:rsidR="00D272FE" w:rsidRDefault="00D27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8A463" w14:textId="256305E9" w:rsidR="00D631B1" w:rsidRDefault="007D44D9" w:rsidP="00612AE9">
    <w:pPr>
      <w:tabs>
        <w:tab w:val="center" w:pos="4252"/>
        <w:tab w:val="right" w:pos="8504"/>
      </w:tabs>
      <w:jc w:val="right"/>
      <w:rPr>
        <w:rFonts w:asciiTheme="majorHAnsi" w:eastAsia="Helvetica Neue" w:hAnsiTheme="majorHAnsi" w:cstheme="majorHAnsi"/>
        <w:color w:val="404040"/>
        <w:sz w:val="18"/>
        <w:szCs w:val="18"/>
      </w:rPr>
    </w:pPr>
    <w:r>
      <w:rPr>
        <w:noProof/>
        <w:lang w:val="es-MX"/>
      </w:rPr>
      <w:drawing>
        <wp:anchor distT="0" distB="0" distL="114300" distR="114300" simplePos="0" relativeHeight="251659264" behindDoc="1" locked="0" layoutInCell="1" allowOverlap="1" wp14:anchorId="30B4C79B" wp14:editId="225A5FC0">
          <wp:simplePos x="0" y="0"/>
          <wp:positionH relativeFrom="column">
            <wp:posOffset>-1038225</wp:posOffset>
          </wp:positionH>
          <wp:positionV relativeFrom="paragraph">
            <wp:posOffset>-343535</wp:posOffset>
          </wp:positionV>
          <wp:extent cx="7772400" cy="152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281D" w:rsidRPr="00006217">
      <w:rPr>
        <w:rFonts w:asciiTheme="majorHAnsi" w:eastAsia="Helvetica Neue" w:hAnsiTheme="majorHAnsi" w:cstheme="majorHAnsi"/>
        <w:color w:val="404040"/>
        <w:sz w:val="18"/>
        <w:szCs w:val="18"/>
      </w:rPr>
      <w:tab/>
    </w:r>
    <w:bookmarkStart w:id="0" w:name="_Hlk188961944"/>
    <w:r w:rsidR="00D631B1">
      <w:rPr>
        <w:rFonts w:asciiTheme="majorHAnsi" w:eastAsia="Helvetica Neue" w:hAnsiTheme="majorHAnsi" w:cstheme="majorHAnsi"/>
        <w:color w:val="404040"/>
        <w:sz w:val="18"/>
        <w:szCs w:val="18"/>
      </w:rPr>
      <w:t>Tipo Educación Superior</w:t>
    </w:r>
  </w:p>
  <w:p w14:paraId="0EE7418F" w14:textId="0C1FD2D2" w:rsidR="00D631B1" w:rsidRDefault="00F13490" w:rsidP="00D631B1">
    <w:pPr>
      <w:tabs>
        <w:tab w:val="center" w:pos="4252"/>
        <w:tab w:val="right" w:pos="8504"/>
      </w:tabs>
      <w:jc w:val="right"/>
      <w:rPr>
        <w:rFonts w:asciiTheme="majorHAnsi" w:eastAsia="Helvetica Neue" w:hAnsiTheme="majorHAnsi" w:cstheme="majorHAnsi"/>
        <w:color w:val="404040"/>
        <w:sz w:val="18"/>
        <w:szCs w:val="18"/>
      </w:rPr>
    </w:pPr>
    <w:r>
      <w:rPr>
        <w:rFonts w:asciiTheme="majorHAnsi" w:eastAsia="Helvetica Neue" w:hAnsiTheme="majorHAnsi" w:cstheme="majorHAnsi"/>
        <w:color w:val="404040"/>
        <w:sz w:val="18"/>
        <w:szCs w:val="18"/>
      </w:rPr>
      <w:t xml:space="preserve">Autorización de Programas de Posgrado </w:t>
    </w:r>
  </w:p>
  <w:p w14:paraId="58CACB63" w14:textId="78EBD238" w:rsidR="00D631B1" w:rsidRDefault="00F13490" w:rsidP="00D631B1">
    <w:pPr>
      <w:tabs>
        <w:tab w:val="center" w:pos="4252"/>
        <w:tab w:val="right" w:pos="8504"/>
      </w:tabs>
      <w:jc w:val="right"/>
      <w:rPr>
        <w:rFonts w:asciiTheme="majorHAnsi" w:eastAsia="Helvetica Neue" w:hAnsiTheme="majorHAnsi" w:cstheme="majorHAnsi"/>
        <w:color w:val="404040"/>
        <w:sz w:val="18"/>
        <w:szCs w:val="18"/>
      </w:rPr>
    </w:pPr>
    <w:r>
      <w:rPr>
        <w:rFonts w:asciiTheme="majorHAnsi" w:eastAsia="Helvetica Neue" w:hAnsiTheme="majorHAnsi" w:cstheme="majorHAnsi"/>
        <w:color w:val="404040"/>
        <w:sz w:val="18"/>
        <w:szCs w:val="18"/>
      </w:rPr>
      <w:t xml:space="preserve">para la Profesionalización Docente </w:t>
    </w:r>
  </w:p>
  <w:bookmarkEnd w:id="0"/>
  <w:p w14:paraId="43D63409" w14:textId="77777777" w:rsidR="005909C6" w:rsidRDefault="001D6CFD" w:rsidP="00D631B1">
    <w:pPr>
      <w:tabs>
        <w:tab w:val="center" w:pos="4252"/>
        <w:tab w:val="left" w:pos="7383"/>
        <w:tab w:val="right" w:pos="8504"/>
        <w:tab w:val="right" w:pos="9498"/>
      </w:tabs>
      <w:jc w:val="right"/>
      <w:rPr>
        <w:rFonts w:asciiTheme="majorHAnsi" w:eastAsia="Helvetica Neue" w:hAnsiTheme="majorHAnsi" w:cstheme="majorHAnsi"/>
        <w:sz w:val="18"/>
        <w:szCs w:val="18"/>
      </w:rPr>
    </w:pPr>
    <w:r w:rsidRPr="00006217">
      <w:rPr>
        <w:rFonts w:asciiTheme="majorHAnsi" w:eastAsia="Helvetica Neue" w:hAnsiTheme="majorHAnsi" w:cstheme="majorHAnsi"/>
        <w:sz w:val="18"/>
        <w:szCs w:val="18"/>
      </w:rPr>
      <w:t>FORMATO 3</w:t>
    </w:r>
  </w:p>
  <w:p w14:paraId="76E976E5" w14:textId="260FB66D" w:rsidR="00233883" w:rsidRPr="00006217" w:rsidRDefault="005909C6" w:rsidP="00D631B1">
    <w:pPr>
      <w:tabs>
        <w:tab w:val="center" w:pos="4252"/>
        <w:tab w:val="left" w:pos="7383"/>
        <w:tab w:val="right" w:pos="8504"/>
        <w:tab w:val="right" w:pos="9498"/>
      </w:tabs>
      <w:jc w:val="right"/>
      <w:rPr>
        <w:rFonts w:asciiTheme="majorHAnsi" w:eastAsia="Helvetica Neue" w:hAnsiTheme="majorHAnsi" w:cstheme="majorHAnsi"/>
        <w:sz w:val="18"/>
        <w:szCs w:val="18"/>
      </w:rPr>
    </w:pPr>
    <w:r>
      <w:rPr>
        <w:rFonts w:asciiTheme="majorHAnsi" w:eastAsia="Helvetica Neue" w:hAnsiTheme="majorHAnsi" w:cstheme="majorHAnsi"/>
        <w:sz w:val="18"/>
        <w:szCs w:val="18"/>
      </w:rPr>
      <w:t>SET-00437</w:t>
    </w:r>
  </w:p>
  <w:p w14:paraId="7583188A" w14:textId="77777777" w:rsidR="00233883" w:rsidRPr="00006217" w:rsidRDefault="00936841" w:rsidP="00936841">
    <w:pPr>
      <w:keepNext/>
      <w:tabs>
        <w:tab w:val="left" w:pos="1580"/>
        <w:tab w:val="center" w:pos="4749"/>
      </w:tabs>
      <w:rPr>
        <w:rFonts w:asciiTheme="majorHAnsi" w:eastAsia="Helvetica Neue" w:hAnsiTheme="majorHAnsi" w:cstheme="majorHAnsi"/>
        <w:color w:val="000000"/>
        <w:sz w:val="18"/>
        <w:szCs w:val="18"/>
      </w:rPr>
    </w:pPr>
    <w:r w:rsidRPr="00006217">
      <w:rPr>
        <w:rFonts w:asciiTheme="majorHAnsi" w:eastAsia="Helvetica Neue" w:hAnsiTheme="majorHAnsi" w:cstheme="majorHAnsi"/>
        <w:color w:val="000000"/>
        <w:sz w:val="18"/>
        <w:szCs w:val="18"/>
      </w:rPr>
      <w:tab/>
    </w:r>
    <w:r w:rsidRPr="00006217">
      <w:rPr>
        <w:rFonts w:asciiTheme="majorHAnsi" w:eastAsia="Helvetica Neue" w:hAnsiTheme="majorHAnsi" w:cstheme="majorHAnsi"/>
        <w:color w:val="000000"/>
        <w:sz w:val="18"/>
        <w:szCs w:val="18"/>
      </w:rPr>
      <w:tab/>
    </w:r>
    <w:r w:rsidR="00E96EC4" w:rsidRPr="00006217">
      <w:rPr>
        <w:rFonts w:asciiTheme="majorHAnsi" w:eastAsia="Helvetica Neue" w:hAnsiTheme="majorHAnsi" w:cstheme="majorHAnsi"/>
        <w:color w:val="000000"/>
        <w:sz w:val="18"/>
        <w:szCs w:val="18"/>
      </w:rPr>
      <w:t>SECRETARÍA DE EDUCACIÓ</w:t>
    </w:r>
    <w:r w:rsidR="0059025F" w:rsidRPr="00006217">
      <w:rPr>
        <w:rFonts w:asciiTheme="majorHAnsi" w:eastAsia="Helvetica Neue" w:hAnsiTheme="majorHAnsi" w:cstheme="majorHAnsi"/>
        <w:color w:val="000000"/>
        <w:sz w:val="18"/>
        <w:szCs w:val="18"/>
      </w:rPr>
      <w:t>N</w:t>
    </w:r>
  </w:p>
  <w:p w14:paraId="41514EF5" w14:textId="77777777" w:rsidR="00233883" w:rsidRDefault="001D6CFD">
    <w:pPr>
      <w:jc w:val="center"/>
      <w:rPr>
        <w:rFonts w:asciiTheme="majorHAnsi" w:eastAsia="Helvetica Neue" w:hAnsiTheme="majorHAnsi" w:cstheme="majorHAnsi"/>
        <w:color w:val="000000"/>
        <w:sz w:val="18"/>
        <w:szCs w:val="18"/>
      </w:rPr>
    </w:pPr>
    <w:r w:rsidRPr="00006217">
      <w:rPr>
        <w:rFonts w:asciiTheme="majorHAnsi" w:eastAsia="Helvetica Neue" w:hAnsiTheme="majorHAnsi" w:cstheme="majorHAnsi"/>
        <w:color w:val="000000"/>
        <w:sz w:val="18"/>
        <w:szCs w:val="18"/>
      </w:rPr>
      <w:t>SUBSECRETARÍA DE EDUCACIÓN MEDIA SUPERIOR Y SUPERIOR</w:t>
    </w:r>
  </w:p>
  <w:p w14:paraId="674EEB56" w14:textId="77777777" w:rsidR="0001279A" w:rsidRPr="00006217" w:rsidRDefault="0001279A">
    <w:pPr>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054"/>
    <w:multiLevelType w:val="multilevel"/>
    <w:tmpl w:val="336E7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F050FF"/>
    <w:multiLevelType w:val="hybridMultilevel"/>
    <w:tmpl w:val="C2222826"/>
    <w:lvl w:ilvl="0" w:tplc="FA06677E">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 w15:restartNumberingAfterBreak="0">
    <w:nsid w:val="0D9E22DC"/>
    <w:multiLevelType w:val="hybridMultilevel"/>
    <w:tmpl w:val="52EEFD46"/>
    <w:lvl w:ilvl="0" w:tplc="D7DCAAA0">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15:restartNumberingAfterBreak="0">
    <w:nsid w:val="21A31F76"/>
    <w:multiLevelType w:val="hybridMultilevel"/>
    <w:tmpl w:val="5510D3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CA6B3C"/>
    <w:multiLevelType w:val="multilevel"/>
    <w:tmpl w:val="7876BE26"/>
    <w:lvl w:ilvl="0">
      <w:start w:val="1"/>
      <w:numFmt w:val="decimal"/>
      <w:lvlText w:val="%1."/>
      <w:lvlJc w:val="left"/>
      <w:pPr>
        <w:ind w:left="1648" w:hanging="360"/>
      </w:p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5" w15:restartNumberingAfterBreak="0">
    <w:nsid w:val="35332A22"/>
    <w:multiLevelType w:val="multilevel"/>
    <w:tmpl w:val="3B34877C"/>
    <w:lvl w:ilvl="0">
      <w:start w:val="1"/>
      <w:numFmt w:val="bullet"/>
      <w:lvlText w:val="●"/>
      <w:lvlJc w:val="left"/>
      <w:pPr>
        <w:ind w:left="720" w:hanging="360"/>
      </w:pPr>
      <w:rPr>
        <w:rFonts w:ascii="Noto Sans Symbols" w:eastAsia="Noto Sans Symbols" w:hAnsi="Noto Sans Symbols" w:cs="Noto Sans Symbols"/>
        <w:color w:val="262626" w:themeColor="text1" w:themeTint="D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9137FB"/>
    <w:multiLevelType w:val="multilevel"/>
    <w:tmpl w:val="F2E85696"/>
    <w:lvl w:ilvl="0">
      <w:start w:val="1"/>
      <w:numFmt w:val="decimal"/>
      <w:lvlText w:val="%1."/>
      <w:lvlJc w:val="left"/>
      <w:pPr>
        <w:ind w:left="360" w:hanging="360"/>
      </w:pPr>
      <w:rPr>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F885095"/>
    <w:multiLevelType w:val="multilevel"/>
    <w:tmpl w:val="62EEBB7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A734649"/>
    <w:multiLevelType w:val="hybridMultilevel"/>
    <w:tmpl w:val="4CFA9AD4"/>
    <w:lvl w:ilvl="0" w:tplc="080A0019">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6D7275E6"/>
    <w:multiLevelType w:val="hybridMultilevel"/>
    <w:tmpl w:val="E5044A32"/>
    <w:lvl w:ilvl="0" w:tplc="552263D2">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7C0526BD"/>
    <w:multiLevelType w:val="multilevel"/>
    <w:tmpl w:val="8F0662EA"/>
    <w:lvl w:ilvl="0">
      <w:start w:val="1"/>
      <w:numFmt w:val="bullet"/>
      <w:lvlText w:val="●"/>
      <w:lvlJc w:val="left"/>
      <w:pPr>
        <w:ind w:left="720" w:hanging="360"/>
      </w:pPr>
      <w:rPr>
        <w:rFonts w:ascii="Noto Sans Symbols" w:eastAsia="Noto Sans Symbols" w:hAnsi="Noto Sans Symbols" w:cs="Noto Sans Symbols"/>
        <w:color w:val="262626" w:themeColor="text1" w:themeTint="D9"/>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60735214">
    <w:abstractNumId w:val="4"/>
  </w:num>
  <w:num w:numId="2" w16cid:durableId="211621694">
    <w:abstractNumId w:val="5"/>
  </w:num>
  <w:num w:numId="3" w16cid:durableId="970284556">
    <w:abstractNumId w:val="10"/>
  </w:num>
  <w:num w:numId="4" w16cid:durableId="1342243556">
    <w:abstractNumId w:val="0"/>
  </w:num>
  <w:num w:numId="5" w16cid:durableId="960570813">
    <w:abstractNumId w:val="7"/>
  </w:num>
  <w:num w:numId="6" w16cid:durableId="1312783627">
    <w:abstractNumId w:val="6"/>
  </w:num>
  <w:num w:numId="7" w16cid:durableId="1445467789">
    <w:abstractNumId w:val="8"/>
  </w:num>
  <w:num w:numId="8" w16cid:durableId="1601182727">
    <w:abstractNumId w:val="9"/>
  </w:num>
  <w:num w:numId="9" w16cid:durableId="1042510929">
    <w:abstractNumId w:val="2"/>
  </w:num>
  <w:num w:numId="10" w16cid:durableId="746877566">
    <w:abstractNumId w:val="1"/>
  </w:num>
  <w:num w:numId="11" w16cid:durableId="546572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83"/>
    <w:rsid w:val="00006217"/>
    <w:rsid w:val="0001279A"/>
    <w:rsid w:val="000153BF"/>
    <w:rsid w:val="000665A3"/>
    <w:rsid w:val="000A0926"/>
    <w:rsid w:val="000C0607"/>
    <w:rsid w:val="000E0D85"/>
    <w:rsid w:val="000F11C4"/>
    <w:rsid w:val="00100E70"/>
    <w:rsid w:val="00151611"/>
    <w:rsid w:val="00162374"/>
    <w:rsid w:val="00165173"/>
    <w:rsid w:val="00176E71"/>
    <w:rsid w:val="001B19BD"/>
    <w:rsid w:val="001D6CFD"/>
    <w:rsid w:val="001E3F08"/>
    <w:rsid w:val="00203C04"/>
    <w:rsid w:val="00204233"/>
    <w:rsid w:val="0021203C"/>
    <w:rsid w:val="00221D79"/>
    <w:rsid w:val="0022409B"/>
    <w:rsid w:val="00225C45"/>
    <w:rsid w:val="00227C71"/>
    <w:rsid w:val="00233883"/>
    <w:rsid w:val="00236D24"/>
    <w:rsid w:val="00244FC1"/>
    <w:rsid w:val="002554DF"/>
    <w:rsid w:val="002845F2"/>
    <w:rsid w:val="00284A4A"/>
    <w:rsid w:val="002852EA"/>
    <w:rsid w:val="002857E3"/>
    <w:rsid w:val="002A5497"/>
    <w:rsid w:val="002C17C4"/>
    <w:rsid w:val="002D4434"/>
    <w:rsid w:val="002F0AE0"/>
    <w:rsid w:val="002F5275"/>
    <w:rsid w:val="002F7E7F"/>
    <w:rsid w:val="003034C0"/>
    <w:rsid w:val="003148FF"/>
    <w:rsid w:val="003F003B"/>
    <w:rsid w:val="004400DA"/>
    <w:rsid w:val="00461D70"/>
    <w:rsid w:val="00465465"/>
    <w:rsid w:val="00470306"/>
    <w:rsid w:val="004909AF"/>
    <w:rsid w:val="004E2765"/>
    <w:rsid w:val="004F1BCE"/>
    <w:rsid w:val="00507067"/>
    <w:rsid w:val="00516E24"/>
    <w:rsid w:val="00551C5B"/>
    <w:rsid w:val="0055281D"/>
    <w:rsid w:val="00552C05"/>
    <w:rsid w:val="00557890"/>
    <w:rsid w:val="0058500E"/>
    <w:rsid w:val="0059025F"/>
    <w:rsid w:val="005909C6"/>
    <w:rsid w:val="0059390B"/>
    <w:rsid w:val="00612AE9"/>
    <w:rsid w:val="00654B30"/>
    <w:rsid w:val="00674AE5"/>
    <w:rsid w:val="00683455"/>
    <w:rsid w:val="00684A1B"/>
    <w:rsid w:val="00695A1B"/>
    <w:rsid w:val="006B6067"/>
    <w:rsid w:val="007051BE"/>
    <w:rsid w:val="00740C9F"/>
    <w:rsid w:val="00745629"/>
    <w:rsid w:val="00746C69"/>
    <w:rsid w:val="007604E5"/>
    <w:rsid w:val="00765C27"/>
    <w:rsid w:val="007756F0"/>
    <w:rsid w:val="00781A10"/>
    <w:rsid w:val="007D44D9"/>
    <w:rsid w:val="007E5013"/>
    <w:rsid w:val="008158A1"/>
    <w:rsid w:val="00817531"/>
    <w:rsid w:val="00860A8D"/>
    <w:rsid w:val="008825B5"/>
    <w:rsid w:val="00891A35"/>
    <w:rsid w:val="008943D6"/>
    <w:rsid w:val="008B23FC"/>
    <w:rsid w:val="008D6951"/>
    <w:rsid w:val="00915669"/>
    <w:rsid w:val="00936841"/>
    <w:rsid w:val="009740AF"/>
    <w:rsid w:val="00974708"/>
    <w:rsid w:val="00976A87"/>
    <w:rsid w:val="00980A59"/>
    <w:rsid w:val="0099336C"/>
    <w:rsid w:val="009951AD"/>
    <w:rsid w:val="009A26FB"/>
    <w:rsid w:val="009A3E5C"/>
    <w:rsid w:val="009B1E8F"/>
    <w:rsid w:val="009D1E15"/>
    <w:rsid w:val="009F0789"/>
    <w:rsid w:val="009F0DCC"/>
    <w:rsid w:val="009F4A2F"/>
    <w:rsid w:val="00A3562A"/>
    <w:rsid w:val="00A5797F"/>
    <w:rsid w:val="00A76DDF"/>
    <w:rsid w:val="00A842B5"/>
    <w:rsid w:val="00A84FB0"/>
    <w:rsid w:val="00A85B24"/>
    <w:rsid w:val="00AA57E1"/>
    <w:rsid w:val="00AC3673"/>
    <w:rsid w:val="00AD4C42"/>
    <w:rsid w:val="00AD5A71"/>
    <w:rsid w:val="00AE6A61"/>
    <w:rsid w:val="00AE77C0"/>
    <w:rsid w:val="00B25758"/>
    <w:rsid w:val="00B418A2"/>
    <w:rsid w:val="00B62D85"/>
    <w:rsid w:val="00BA2E6B"/>
    <w:rsid w:val="00BB173C"/>
    <w:rsid w:val="00BB29BF"/>
    <w:rsid w:val="00BD1280"/>
    <w:rsid w:val="00BD57E5"/>
    <w:rsid w:val="00C01CEC"/>
    <w:rsid w:val="00C025FE"/>
    <w:rsid w:val="00C11F9F"/>
    <w:rsid w:val="00C50228"/>
    <w:rsid w:val="00C5757E"/>
    <w:rsid w:val="00C86CFF"/>
    <w:rsid w:val="00C945C0"/>
    <w:rsid w:val="00CB20AC"/>
    <w:rsid w:val="00CE0D6D"/>
    <w:rsid w:val="00CE69D9"/>
    <w:rsid w:val="00D163CF"/>
    <w:rsid w:val="00D272FE"/>
    <w:rsid w:val="00D407DE"/>
    <w:rsid w:val="00D62CE3"/>
    <w:rsid w:val="00D631B1"/>
    <w:rsid w:val="00D80BD2"/>
    <w:rsid w:val="00DA3511"/>
    <w:rsid w:val="00E00D45"/>
    <w:rsid w:val="00E25152"/>
    <w:rsid w:val="00E308F3"/>
    <w:rsid w:val="00E46F9D"/>
    <w:rsid w:val="00E74866"/>
    <w:rsid w:val="00E96EC4"/>
    <w:rsid w:val="00EE2088"/>
    <w:rsid w:val="00EE5619"/>
    <w:rsid w:val="00F13490"/>
    <w:rsid w:val="00F326B5"/>
    <w:rsid w:val="00F341B6"/>
    <w:rsid w:val="00F6088F"/>
    <w:rsid w:val="00F84A1D"/>
    <w:rsid w:val="00F8776D"/>
    <w:rsid w:val="00FB0C3F"/>
    <w:rsid w:val="00FC570F"/>
    <w:rsid w:val="00FC6504"/>
    <w:rsid w:val="00FC673B"/>
    <w:rsid w:val="00FD3557"/>
    <w:rsid w:val="00FD5EA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B0F4F"/>
  <w15:docId w15:val="{9A11074B-A78E-400F-BBC6-7E7B04EB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228"/>
  </w:style>
  <w:style w:type="paragraph" w:styleId="Ttulo1">
    <w:name w:val="heading 1"/>
    <w:basedOn w:val="Normal"/>
    <w:next w:val="Normal"/>
    <w:uiPriority w:val="9"/>
    <w:qFormat/>
    <w:rsid w:val="00C50228"/>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50228"/>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50228"/>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50228"/>
    <w:pPr>
      <w:keepNext/>
      <w:keepLines/>
      <w:spacing w:before="240" w:after="40"/>
      <w:outlineLvl w:val="3"/>
    </w:pPr>
    <w:rPr>
      <w:b/>
    </w:rPr>
  </w:style>
  <w:style w:type="paragraph" w:styleId="Ttulo5">
    <w:name w:val="heading 5"/>
    <w:basedOn w:val="Normal"/>
    <w:next w:val="Normal"/>
    <w:uiPriority w:val="9"/>
    <w:semiHidden/>
    <w:unhideWhenUsed/>
    <w:qFormat/>
    <w:rsid w:val="00C50228"/>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C50228"/>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50228"/>
    <w:tblPr>
      <w:tblCellMar>
        <w:top w:w="0" w:type="dxa"/>
        <w:left w:w="0" w:type="dxa"/>
        <w:bottom w:w="0" w:type="dxa"/>
        <w:right w:w="0" w:type="dxa"/>
      </w:tblCellMar>
    </w:tblPr>
  </w:style>
  <w:style w:type="paragraph" w:styleId="Ttulo">
    <w:name w:val="Title"/>
    <w:basedOn w:val="Normal"/>
    <w:next w:val="Normal"/>
    <w:uiPriority w:val="10"/>
    <w:qFormat/>
    <w:rsid w:val="00C50228"/>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uiPriority w:val="11"/>
    <w:qFormat/>
    <w:rsid w:val="00C50228"/>
    <w:pPr>
      <w:keepNext/>
      <w:keepLines/>
      <w:spacing w:before="360" w:after="80"/>
    </w:pPr>
    <w:rPr>
      <w:rFonts w:ascii="Georgia" w:eastAsia="Georgia" w:hAnsi="Georgia" w:cs="Georgia"/>
      <w:i/>
      <w:color w:val="666666"/>
      <w:sz w:val="48"/>
      <w:szCs w:val="48"/>
    </w:rPr>
  </w:style>
  <w:style w:type="table" w:customStyle="1" w:styleId="a">
    <w:basedOn w:val="TableNormal"/>
    <w:rsid w:val="00C50228"/>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C50228"/>
    <w:tblPr>
      <w:tblStyleRowBandSize w:val="1"/>
      <w:tblStyleColBandSize w:val="1"/>
      <w:tblCellMar>
        <w:left w:w="71" w:type="dxa"/>
        <w:right w:w="71" w:type="dxa"/>
      </w:tblCellMar>
    </w:tblPr>
  </w:style>
  <w:style w:type="table" w:customStyle="1" w:styleId="a1">
    <w:basedOn w:val="TableNormal"/>
    <w:rsid w:val="00C50228"/>
    <w:rPr>
      <w:color w:val="000000"/>
    </w:rPr>
    <w:tblPr>
      <w:tblStyleRowBandSize w:val="1"/>
      <w:tblStyleColBandSize w:val="1"/>
      <w:tblCellMar>
        <w:left w:w="115" w:type="dxa"/>
        <w:right w:w="115" w:type="dxa"/>
      </w:tblCellMar>
    </w:tblPr>
    <w:tcPr>
      <w:shd w:val="clear" w:color="auto" w:fill="D3DFEE"/>
    </w:tcPr>
  </w:style>
  <w:style w:type="character" w:styleId="Hipervnculo">
    <w:name w:val="Hyperlink"/>
    <w:basedOn w:val="Fuentedeprrafopredeter"/>
    <w:uiPriority w:val="99"/>
    <w:unhideWhenUsed/>
    <w:rsid w:val="00FD5EA4"/>
    <w:rPr>
      <w:color w:val="0000FF" w:themeColor="hyperlink"/>
      <w:u w:val="single"/>
    </w:rPr>
  </w:style>
  <w:style w:type="paragraph" w:styleId="Textodeglobo">
    <w:name w:val="Balloon Text"/>
    <w:basedOn w:val="Normal"/>
    <w:link w:val="TextodegloboCar"/>
    <w:uiPriority w:val="99"/>
    <w:semiHidden/>
    <w:unhideWhenUsed/>
    <w:rsid w:val="007D44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4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33644">
      <w:bodyDiv w:val="1"/>
      <w:marLeft w:val="0"/>
      <w:marRight w:val="0"/>
      <w:marTop w:val="0"/>
      <w:marBottom w:val="0"/>
      <w:divBdr>
        <w:top w:val="none" w:sz="0" w:space="0" w:color="auto"/>
        <w:left w:val="none" w:sz="0" w:space="0" w:color="auto"/>
        <w:bottom w:val="none" w:sz="0" w:space="0" w:color="auto"/>
        <w:right w:val="none" w:sz="0" w:space="0" w:color="auto"/>
      </w:divBdr>
    </w:div>
    <w:div w:id="119434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JrJtjATxtyU2lXELDonlJgwE5g==">AMUW2mUHqP3nKwidsDcM1iCP9HvwzUhelbOUt5yzpwlkF8QZgoRgPuT26ZOHuDSdMqvEq6/pEcWv51OCAenrum/GL78kdM073cjh+QoNU6pwgbXLgROaFk8=</go:docsCustomData>
</go:gDocsCustomXmlDataStorage>
</file>

<file path=customXml/itemProps1.xml><?xml version="1.0" encoding="utf-8"?>
<ds:datastoreItem xmlns:ds="http://schemas.openxmlformats.org/officeDocument/2006/customXml" ds:itemID="{8E990143-5514-4ABD-AA22-0D2FD421BD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1772</Words>
  <Characters>9749</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Jonatan Guerrero</cp:lastModifiedBy>
  <cp:revision>44</cp:revision>
  <cp:lastPrinted>2022-12-05T17:13:00Z</cp:lastPrinted>
  <dcterms:created xsi:type="dcterms:W3CDTF">2023-01-05T17:34:00Z</dcterms:created>
  <dcterms:modified xsi:type="dcterms:W3CDTF">2025-02-05T19:00:00Z</dcterms:modified>
</cp:coreProperties>
</file>