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E34AA" w:rsidRDefault="006E34AA"/>
    <w:p w14:paraId="0A37501D" w14:textId="77777777" w:rsidR="006E34AA" w:rsidRDefault="006E34AA"/>
    <w:p w14:paraId="54647A52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122E7">
        <w:rPr>
          <w:rFonts w:asciiTheme="majorHAnsi" w:hAnsiTheme="majorHAnsi" w:cstheme="majorHAnsi"/>
          <w:b/>
          <w:bCs/>
          <w:sz w:val="22"/>
          <w:szCs w:val="22"/>
        </w:rPr>
        <w:t>Anexo I</w:t>
      </w:r>
    </w:p>
    <w:p w14:paraId="2DB5836B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77F5B5E" w14:textId="77777777" w:rsidR="004D4D73" w:rsidRPr="00B122E7" w:rsidRDefault="004D4D73" w:rsidP="004D4D73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122E7">
        <w:rPr>
          <w:rFonts w:asciiTheme="majorHAnsi" w:hAnsiTheme="majorHAnsi" w:cstheme="majorHAnsi"/>
          <w:b/>
          <w:bCs/>
          <w:sz w:val="20"/>
          <w:szCs w:val="20"/>
        </w:rPr>
        <w:t>ESPECIFICACIONES TÉCNICAS, ECONÓMICAS Y DE ENTREGA DEL PRODUCTO</w:t>
      </w:r>
    </w:p>
    <w:p w14:paraId="5BE0E12A" w14:textId="77777777" w:rsidR="004D4D73" w:rsidRPr="00B122E7" w:rsidRDefault="004D4D73" w:rsidP="004D4D73">
      <w:pPr>
        <w:pStyle w:val="Texto"/>
        <w:spacing w:after="0" w:line="322" w:lineRule="exact"/>
        <w:ind w:firstLine="0"/>
        <w:jc w:val="center"/>
        <w:rPr>
          <w:rFonts w:asciiTheme="majorHAnsi" w:hAnsiTheme="majorHAnsi" w:cstheme="majorHAnsi"/>
          <w:b/>
          <w:color w:val="000000"/>
        </w:rPr>
      </w:pPr>
      <w:r w:rsidRPr="00B122E7">
        <w:rPr>
          <w:rFonts w:asciiTheme="majorHAnsi" w:hAnsiTheme="majorHAnsi" w:cstheme="majorHAnsi"/>
          <w:b/>
          <w:color w:val="000000"/>
        </w:rPr>
        <w:t>Descripción del bien o servicio:</w:t>
      </w:r>
    </w:p>
    <w:p w14:paraId="3D1D4741" w14:textId="77777777" w:rsidR="00506826" w:rsidRDefault="004D4D73" w:rsidP="00506826">
      <w:pPr>
        <w:pStyle w:val="Texto"/>
        <w:spacing w:line="322" w:lineRule="exact"/>
        <w:ind w:firstLine="0"/>
        <w:jc w:val="center"/>
        <w:rPr>
          <w:rFonts w:asciiTheme="majorHAnsi" w:hAnsiTheme="majorHAnsi" w:cstheme="majorHAnsi"/>
          <w:b/>
          <w:color w:val="000000"/>
        </w:rPr>
      </w:pPr>
      <w:r w:rsidRPr="00B122E7">
        <w:rPr>
          <w:rFonts w:asciiTheme="majorHAnsi" w:hAnsiTheme="majorHAnsi" w:cstheme="majorHAnsi"/>
          <w:b/>
          <w:color w:val="000000"/>
        </w:rPr>
        <w:t>(Cerrado)</w:t>
      </w:r>
    </w:p>
    <w:tbl>
      <w:tblPr>
        <w:tblW w:w="86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79"/>
        <w:gridCol w:w="2217"/>
        <w:gridCol w:w="1415"/>
        <w:gridCol w:w="1276"/>
        <w:gridCol w:w="1607"/>
      </w:tblGrid>
      <w:tr w:rsidR="00506826" w:rsidRPr="00506826" w14:paraId="56728342" w14:textId="77777777" w:rsidTr="00506826">
        <w:trPr>
          <w:trHeight w:val="51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A6F5" w14:textId="77777777" w:rsidR="00506826" w:rsidRPr="00506826" w:rsidRDefault="00506826" w:rsidP="0050682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06826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Partida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ED4D" w14:textId="77777777" w:rsidR="00506826" w:rsidRPr="00506826" w:rsidRDefault="00506826" w:rsidP="00506826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06826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59D2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>Especificaciones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D15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>CANTIDAD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BCCF5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>PROYECTO</w:t>
            </w:r>
          </w:p>
        </w:tc>
      </w:tr>
      <w:tr w:rsidR="00506826" w:rsidRPr="00506826" w14:paraId="12374D21" w14:textId="77777777" w:rsidTr="00506826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53EC" w14:textId="77777777" w:rsidR="00506826" w:rsidRPr="00506826" w:rsidRDefault="00506826" w:rsidP="005068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50682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A2925" w14:textId="77777777" w:rsidR="00506826" w:rsidRPr="00506826" w:rsidRDefault="00506826" w:rsidP="005068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50682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Llantas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97B4A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285/75 R16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041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0431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D00D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>Servicio Fitosanitario</w:t>
            </w:r>
          </w:p>
        </w:tc>
      </w:tr>
      <w:tr w:rsidR="00506826" w:rsidRPr="00506826" w14:paraId="660EE66D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6AC9F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5476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00B7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235 75/R15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21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97C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56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D9C2B1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3A83F5C0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AD38A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23D36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2FF90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265/75 R16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A9A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34F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82AF18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4254CAF8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78BE8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F3639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FF4C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27 X 8.50/R14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9E5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CEA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8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05031A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09FF1539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B73B8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33BB3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6246A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175/70/R14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9694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7BB8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6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E6F983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1D925230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DDE49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5614C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28517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225/70/R17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D29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3484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75E87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3A25D308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7B98E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64651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4611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195/R15C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F2F7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822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20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91D85B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053956ED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DA7AE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ACE2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31870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185/70 R14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85AF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744D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606CC3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6CA7A138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86CA9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D4977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82B4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255/70 R16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1758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53CD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6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A9A83B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0F3E4043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0CD9D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CEC02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6D8D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235 75/R15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729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B7EF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3612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 xml:space="preserve">Vigilancia Epidemiológica Fitosanitaria </w:t>
            </w:r>
          </w:p>
        </w:tc>
      </w:tr>
      <w:tr w:rsidR="00506826" w:rsidRPr="00506826" w14:paraId="0EC53DCE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3F725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D381B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E52B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235 75/R15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6A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D90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708B0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50EEFCF8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B099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3B03B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C8853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285 75/R16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972A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D3F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8BE72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7B543E04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BA2F6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7B4A5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A12C2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235 75/R15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56D8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96B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2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28564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  <w:tr w:rsidR="00506826" w:rsidRPr="00506826" w14:paraId="1E810864" w14:textId="77777777" w:rsidTr="00506826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C26D9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B355D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B0528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175/70 R14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73E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27B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91ED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  <w:t>Inocuidad Agrícola</w:t>
            </w:r>
          </w:p>
        </w:tc>
      </w:tr>
      <w:tr w:rsidR="00506826" w:rsidRPr="00506826" w14:paraId="1CD12BB6" w14:textId="77777777" w:rsidTr="0050682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BAF41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4307" w14:textId="77777777" w:rsidR="00506826" w:rsidRPr="00506826" w:rsidRDefault="00506826" w:rsidP="0050682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B4B66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195 R15C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3216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All</w:t>
            </w:r>
            <w:proofErr w:type="spellEnd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 xml:space="preserve"> </w:t>
            </w:r>
            <w:proofErr w:type="spellStart"/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Terrain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260" w14:textId="77777777" w:rsidR="00506826" w:rsidRPr="00506826" w:rsidRDefault="00506826" w:rsidP="00506826">
            <w:pPr>
              <w:jc w:val="center"/>
              <w:rPr>
                <w:rFonts w:ascii="Calibri Light" w:hAnsi="Calibri Light" w:cs="Calibri Light"/>
                <w:color w:val="000000"/>
                <w:lang w:val="es-MX" w:eastAsia="es-MX"/>
              </w:rPr>
            </w:pPr>
            <w:r w:rsidRPr="00506826">
              <w:rPr>
                <w:rFonts w:ascii="Calibri Light" w:hAnsi="Calibri Light" w:cs="Calibri Light"/>
                <w:color w:val="000000"/>
                <w:lang w:val="es-MX" w:eastAsia="es-MX"/>
              </w:rPr>
              <w:t>4</w:t>
            </w: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E946F" w14:textId="77777777" w:rsidR="00506826" w:rsidRPr="00506826" w:rsidRDefault="00506826" w:rsidP="00506826">
            <w:pPr>
              <w:rPr>
                <w:rFonts w:ascii="Calibri Light" w:hAnsi="Calibri Light" w:cs="Calibri Light"/>
                <w:b/>
                <w:bCs/>
                <w:color w:val="000000"/>
                <w:lang w:val="es-MX" w:eastAsia="es-MX"/>
              </w:rPr>
            </w:pPr>
          </w:p>
        </w:tc>
      </w:tr>
    </w:tbl>
    <w:p w14:paraId="42A4E7DE" w14:textId="1F757562" w:rsidR="004D4D73" w:rsidRDefault="004D4D73" w:rsidP="00506826">
      <w:pPr>
        <w:pStyle w:val="Texto"/>
        <w:spacing w:line="322" w:lineRule="exact"/>
        <w:ind w:firstLine="0"/>
        <w:jc w:val="center"/>
        <w:rPr>
          <w:rFonts w:ascii="Arial,Bold" w:eastAsiaTheme="minorHAnsi" w:hAnsi="Arial,Bold" w:cs="Arial,Bold"/>
          <w:b/>
          <w:bCs/>
          <w:szCs w:val="18"/>
          <w:lang w:eastAsia="en-US"/>
        </w:rPr>
      </w:pPr>
    </w:p>
    <w:p w14:paraId="4B6007D7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</w:pPr>
    </w:p>
    <w:p w14:paraId="3E1994ED" w14:textId="301C26A2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Fecha de entrega: para las partidas No.1: </w:t>
      </w:r>
      <w:r w:rsidR="00506826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el 27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de </w:t>
      </w:r>
      <w:r w:rsidR="00506826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diciembre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de 2024, en horario de 9:00 a 16:00 horas.</w:t>
      </w:r>
    </w:p>
    <w:p w14:paraId="76732F6C" w14:textId="77777777" w:rsidR="004D4D73" w:rsidRDefault="004D4D73" w:rsidP="004D4D73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BEF2E95" w14:textId="77777777" w:rsidR="004D4D73" w:rsidRPr="00B122E7" w:rsidRDefault="004D4D73" w:rsidP="004D4D73">
      <w:pPr>
        <w:spacing w:line="276" w:lineRule="auto"/>
        <w:jc w:val="both"/>
        <w:rPr>
          <w:rFonts w:asciiTheme="majorHAnsi" w:hAnsiTheme="majorHAnsi" w:cs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Lugar </w:t>
      </w:r>
      <w:r w:rsidRPr="00B122E7">
        <w:rPr>
          <w:rFonts w:asciiTheme="majorHAnsi" w:eastAsiaTheme="minorHAnsi" w:hAnsiTheme="majorHAnsi" w:cstheme="majorHAnsi"/>
          <w:b/>
          <w:bCs/>
          <w:i/>
          <w:iCs/>
          <w:sz w:val="18"/>
          <w:szCs w:val="18"/>
          <w:lang w:val="es-MX" w:eastAsia="en-US"/>
        </w:rPr>
        <w:t>de entrega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: Oficinas de la Secretaria de Desarrollo Rural, ubicada en Centro de Oficinas Gubernamentales, Parque Bicentenario Piso 8, Libramiento Naciones Unidas con Prolongación </w:t>
      </w:r>
      <w:proofErr w:type="spellStart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Blvd</w:t>
      </w:r>
      <w:proofErr w:type="spellEnd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. </w:t>
      </w:r>
      <w:proofErr w:type="spellStart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Praxedis</w:t>
      </w:r>
      <w:proofErr w:type="spellEnd"/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 xml:space="preserve"> Balboa, Ciudad Victoria, Tamaulipas, México C.P. 87083.</w:t>
      </w:r>
      <w:r w:rsidRPr="00B122E7">
        <w:rPr>
          <w:rFonts w:asciiTheme="majorHAnsi" w:hAnsiTheme="majorHAnsi" w:cstheme="majorHAnsi"/>
          <w:noProof/>
          <w:color w:val="000000"/>
          <w:sz w:val="18"/>
          <w:szCs w:val="20"/>
        </w:rPr>
        <w:t xml:space="preserve"> </w:t>
      </w:r>
    </w:p>
    <w:p w14:paraId="61DAD6C7" w14:textId="77777777" w:rsidR="004D4D73" w:rsidRPr="00B122E7" w:rsidRDefault="004D4D73" w:rsidP="004D4D73">
      <w:pPr>
        <w:spacing w:line="276" w:lineRule="auto"/>
        <w:jc w:val="both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</w:p>
    <w:p w14:paraId="236E8987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629ED5D6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027E4BC3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422D233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58AD2211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ciento de la cantidad o presupuesto máximo.</w:t>
      </w:r>
    </w:p>
    <w:p w14:paraId="0500C74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>Condiciones de pago:</w:t>
      </w:r>
    </w:p>
    <w:p w14:paraId="70D86368" w14:textId="68AEBC32" w:rsidR="004D4D73" w:rsidRPr="00506826" w:rsidRDefault="004D4D73" w:rsidP="00AE76F8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142" w:hanging="142"/>
        <w:rPr>
          <w:rFonts w:asciiTheme="majorHAnsi" w:eastAsiaTheme="minorHAnsi" w:hAnsiTheme="majorHAnsi" w:cstheme="majorHAnsi"/>
          <w:sz w:val="18"/>
          <w:szCs w:val="18"/>
          <w:lang w:val="es-MX"/>
        </w:rPr>
      </w:pPr>
      <w:r w:rsidRPr="00506826">
        <w:rPr>
          <w:rFonts w:asciiTheme="majorHAnsi" w:eastAsiaTheme="minorHAnsi" w:hAnsiTheme="majorHAnsi" w:cstheme="majorHAnsi"/>
          <w:b/>
          <w:bCs/>
          <w:sz w:val="18"/>
          <w:szCs w:val="18"/>
          <w:lang w:val="es-MX"/>
        </w:rPr>
        <w:t xml:space="preserve">Para las partidas referentes a insumos o adquisición de bienes </w:t>
      </w:r>
      <w:r w:rsidRPr="00506826">
        <w:rPr>
          <w:rFonts w:asciiTheme="majorHAnsi" w:eastAsiaTheme="minorHAnsi" w:hAnsiTheme="majorHAnsi" w:cstheme="majorHAnsi"/>
          <w:sz w:val="18"/>
          <w:szCs w:val="18"/>
          <w:lang w:val="es-MX"/>
        </w:rPr>
        <w:t>el pago será en un periodo</w:t>
      </w:r>
      <w:r w:rsidR="00506826">
        <w:rPr>
          <w:rFonts w:asciiTheme="majorHAnsi" w:eastAsiaTheme="minorHAnsi" w:hAnsiTheme="majorHAnsi" w:cstheme="majorHAnsi"/>
          <w:sz w:val="18"/>
          <w:szCs w:val="18"/>
          <w:lang w:val="es-MX"/>
        </w:rPr>
        <w:t xml:space="preserve"> </w:t>
      </w:r>
      <w:r w:rsidRPr="00506826">
        <w:rPr>
          <w:rFonts w:asciiTheme="majorHAnsi" w:eastAsiaTheme="minorHAnsi" w:hAnsiTheme="majorHAnsi" w:cstheme="majorHAnsi"/>
          <w:sz w:val="18"/>
          <w:szCs w:val="18"/>
          <w:lang w:val="es-MX"/>
        </w:rPr>
        <w:t>que no rebase los 30 días naturales a la entrega de estos.</w:t>
      </w:r>
    </w:p>
    <w:p w14:paraId="386A7F59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</w:pP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EastAsia" w:hAnsiTheme="majorHAnsi" w:cstheme="majorHAnsi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se podrá otorgar anticipo de hasta el 50% a la firma del</w:t>
      </w:r>
    </w:p>
    <w:p w14:paraId="68A448D4" w14:textId="77777777" w:rsidR="004D4D73" w:rsidRDefault="004D4D73" w:rsidP="004D4D73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0B122E7">
        <w:rPr>
          <w:rFonts w:asciiTheme="majorHAnsi" w:eastAsiaTheme="minorEastAsia" w:hAnsiTheme="majorHAnsi" w:cstheme="majorHAnsi"/>
          <w:sz w:val="18"/>
          <w:szCs w:val="18"/>
          <w:lang w:val="es-MX" w:eastAsia="en-US"/>
        </w:rPr>
        <w:t>contrato y el resto al término del servicio</w:t>
      </w:r>
      <w:r w:rsidRPr="32A8C68D">
        <w:rPr>
          <w:rFonts w:eastAsiaTheme="minorEastAsia"/>
          <w:sz w:val="18"/>
          <w:szCs w:val="18"/>
          <w:lang w:val="es-MX" w:eastAsia="en-US"/>
        </w:rPr>
        <w:t>.</w:t>
      </w:r>
    </w:p>
    <w:p w14:paraId="018AE282" w14:textId="77777777" w:rsidR="004D4D73" w:rsidRPr="00B122E7" w:rsidRDefault="004D4D73" w:rsidP="004D4D73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 w:val="18"/>
          <w:szCs w:val="18"/>
          <w:lang w:val="es-MX" w:eastAsia="en-US"/>
        </w:rPr>
        <w:t xml:space="preserve">Tipo de moneda: </w:t>
      </w:r>
      <w:r w:rsidRPr="00B122E7">
        <w:rPr>
          <w:rFonts w:asciiTheme="majorHAnsi" w:eastAsiaTheme="minorHAnsi" w:hAnsiTheme="majorHAnsi" w:cstheme="majorHAnsi"/>
          <w:sz w:val="18"/>
          <w:szCs w:val="18"/>
          <w:lang w:val="es-MX" w:eastAsia="en-US"/>
        </w:rPr>
        <w:t>pesos mexicanos m.n.</w:t>
      </w:r>
    </w:p>
    <w:p w14:paraId="48204182" w14:textId="77777777" w:rsidR="004D4D73" w:rsidRPr="00B122E7" w:rsidRDefault="004D4D73" w:rsidP="004D4D73">
      <w:pPr>
        <w:pStyle w:val="Texto"/>
        <w:numPr>
          <w:ilvl w:val="0"/>
          <w:numId w:val="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 w:rsidRPr="00B122E7">
        <w:rPr>
          <w:rFonts w:asciiTheme="majorHAnsi" w:eastAsiaTheme="minorHAnsi" w:hAnsiTheme="majorHAnsi" w:cstheme="majorHAnsi"/>
          <w:b/>
          <w:bCs/>
          <w:szCs w:val="18"/>
          <w:lang w:eastAsia="en-US"/>
        </w:rPr>
        <w:t xml:space="preserve">Forma de pago: </w:t>
      </w:r>
      <w:r w:rsidRPr="00B122E7">
        <w:rPr>
          <w:rFonts w:asciiTheme="majorHAnsi" w:eastAsiaTheme="minorHAnsi" w:hAnsiTheme="majorHAnsi" w:cstheme="majorHAnsi"/>
          <w:szCs w:val="18"/>
          <w:lang w:eastAsia="en-US"/>
        </w:rPr>
        <w:t>cheque nominativo o transferencia bancaria electrónica.</w:t>
      </w:r>
    </w:p>
    <w:p w14:paraId="187DFF7B" w14:textId="77777777" w:rsidR="004D4D73" w:rsidRDefault="004D4D73" w:rsidP="004D4D73"/>
    <w:p w14:paraId="173FADFD" w14:textId="01027C4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2E6ADB6" w14:textId="16A3080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  <w:bookmarkStart w:id="0" w:name="_GoBack"/>
      <w:bookmarkEnd w:id="0"/>
    </w:p>
    <w:p w14:paraId="44E0E404" w14:textId="0298474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95738A3" w14:textId="77777777" w:rsidR="007535F7" w:rsidRPr="007535F7" w:rsidRDefault="007535F7" w:rsidP="007535F7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Anexo 2</w:t>
      </w:r>
    </w:p>
    <w:p w14:paraId="2224CDD0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PROPUESTA ECONÓMICA</w:t>
      </w:r>
    </w:p>
    <w:p w14:paraId="78F85D21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 xml:space="preserve">(Deberá </w:t>
      </w:r>
      <w:proofErr w:type="spellStart"/>
      <w:r w:rsidRPr="007535F7">
        <w:rPr>
          <w:rFonts w:asciiTheme="majorHAnsi" w:hAnsiTheme="majorHAnsi"/>
          <w:sz w:val="20"/>
        </w:rPr>
        <w:t>requisitarse</w:t>
      </w:r>
      <w:proofErr w:type="spellEnd"/>
      <w:r w:rsidRPr="007535F7">
        <w:rPr>
          <w:rFonts w:asciiTheme="majorHAnsi" w:hAnsiTheme="majorHAnsi"/>
          <w:sz w:val="20"/>
        </w:rPr>
        <w:t xml:space="preserve"> en papel membretado de la empresa)</w:t>
      </w:r>
    </w:p>
    <w:p w14:paraId="6B19C082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</w:p>
    <w:p w14:paraId="55FB2F70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Ciudad de Victoria, a</w:t>
      </w:r>
      <w:r w:rsidRPr="007535F7">
        <w:rPr>
          <w:rFonts w:asciiTheme="majorHAnsi" w:hAnsiTheme="majorHAnsi"/>
          <w:sz w:val="20"/>
        </w:rPr>
        <w:tab/>
        <w:t>de</w:t>
      </w:r>
      <w:r w:rsidRPr="007535F7">
        <w:rPr>
          <w:rFonts w:asciiTheme="majorHAnsi" w:hAnsiTheme="majorHAnsi"/>
          <w:sz w:val="20"/>
        </w:rPr>
        <w:tab/>
      </w:r>
      <w:proofErr w:type="spellStart"/>
      <w:r w:rsidRPr="007535F7">
        <w:rPr>
          <w:rFonts w:asciiTheme="majorHAnsi" w:hAnsiTheme="majorHAnsi"/>
          <w:sz w:val="20"/>
        </w:rPr>
        <w:t>de</w:t>
      </w:r>
      <w:proofErr w:type="spellEnd"/>
      <w:r w:rsidRPr="007535F7">
        <w:rPr>
          <w:rFonts w:asciiTheme="majorHAnsi" w:hAnsiTheme="majorHAnsi"/>
          <w:sz w:val="20"/>
        </w:rPr>
        <w:t xml:space="preserve"> 2024.</w:t>
      </w:r>
    </w:p>
    <w:p w14:paraId="2057D167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(Fecha de firma de presentación de proposiciones)</w:t>
      </w:r>
    </w:p>
    <w:p w14:paraId="64091D9B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</w:p>
    <w:p w14:paraId="4CC19E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81"/>
        <w:gridCol w:w="1286"/>
        <w:gridCol w:w="1000"/>
        <w:gridCol w:w="1195"/>
        <w:gridCol w:w="1338"/>
      </w:tblGrid>
      <w:tr w:rsidR="007535F7" w:rsidRPr="007535F7" w14:paraId="3D96AF82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3ADECAA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11C8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960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2BAB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UNIDAD</w:t>
            </w:r>
          </w:p>
          <w:p w14:paraId="076E01E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4AC31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COSTO</w:t>
            </w:r>
          </w:p>
          <w:p w14:paraId="292C407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B13A7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SUBTOTAL</w:t>
            </w:r>
          </w:p>
          <w:p w14:paraId="271DCE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7535F7" w:rsidRPr="007535F7" w14:paraId="4A05CEBA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EE4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B1C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A426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CC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6F3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9F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145146F8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D8866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A99057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3087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785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AE2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787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2453C4B8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0D1C494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1132D5B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3DD9E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0F2A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AA7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091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54BDA1AB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3CAE7DE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0D21674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2FC0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B8F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8B5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F66E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9EFF072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</w:p>
    <w:p w14:paraId="54E7F84A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IMPORTE TOTAL CON LETRA (PESOS 00/100 M.N.)  ANTES DE LA APLICACIÓN DEL I.V.A</w:t>
      </w:r>
    </w:p>
    <w:p w14:paraId="622D1588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Que los precios de su oferta serán fijos y firmes hasta la entrega total de los bienes.</w:t>
      </w:r>
    </w:p>
    <w:p w14:paraId="769FFCC3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Fecha y lugar de la entrega de los bienes.</w:t>
      </w:r>
    </w:p>
    <w:p w14:paraId="72B0B66E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De ser el caso, el licitante deberá manifestar por escrito los descuentos que esté en posibilidad de otorgar a la institución.</w:t>
      </w:r>
    </w:p>
    <w:p w14:paraId="005381E4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Condiciones de entrega CONFORME ANEXO 1</w:t>
      </w:r>
    </w:p>
    <w:p w14:paraId="1EAAB8E9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Vigencia de la propuesta 30 días hábiles</w:t>
      </w:r>
    </w:p>
    <w:p w14:paraId="16847527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Los precios son vigentes en el momento de la apertura de las propuestas y firmes e incondicionados, durante la vigencia del contrato.</w:t>
      </w:r>
    </w:p>
    <w:p w14:paraId="728F0500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3BFB4CD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Atentamente</w:t>
      </w:r>
    </w:p>
    <w:p w14:paraId="1C881A94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2C706E38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04114A3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_________________________</w:t>
      </w:r>
    </w:p>
    <w:p w14:paraId="0BC197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Nombre y firma del representante legal o de la representante legal de la empresa</w:t>
      </w:r>
    </w:p>
    <w:p w14:paraId="1CD214E2" w14:textId="77777777" w:rsidR="007535F7" w:rsidRPr="007535F7" w:rsidRDefault="007535F7" w:rsidP="007535F7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s-MX"/>
        </w:rPr>
      </w:pPr>
    </w:p>
    <w:p w14:paraId="26F3D9EB" w14:textId="77777777" w:rsidR="007535F7" w:rsidRPr="007535F7" w:rsidRDefault="007535F7" w:rsidP="007535F7">
      <w:pPr>
        <w:pStyle w:val="Texto"/>
        <w:spacing w:after="0" w:line="322" w:lineRule="exact"/>
        <w:rPr>
          <w:rFonts w:asciiTheme="majorHAnsi" w:hAnsiTheme="majorHAnsi"/>
          <w:sz w:val="20"/>
        </w:rPr>
      </w:pPr>
    </w:p>
    <w:p w14:paraId="4B94D5A5" w14:textId="77777777" w:rsidR="006E34AA" w:rsidRPr="007535F7" w:rsidRDefault="006E34AA">
      <w:pPr>
        <w:rPr>
          <w:rFonts w:asciiTheme="majorHAnsi" w:hAnsiTheme="majorHAnsi"/>
          <w:sz w:val="20"/>
          <w:szCs w:val="20"/>
          <w:lang w:val="es-MX"/>
        </w:rPr>
      </w:pPr>
    </w:p>
    <w:sectPr w:rsidR="006E34AA" w:rsidRPr="0075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E0481" w16cid:durableId="22F0A949"/>
  <w16cid:commentId w16cid:paraId="5B49482C" w16cid:durableId="7E685585"/>
  <w16cid:commentId w16cid:paraId="250A8A1B" w16cid:durableId="149C7415"/>
  <w16cid:commentId w16cid:paraId="779B62AD" w16cid:durableId="492EA78B"/>
  <w16cid:commentId w16cid:paraId="4EFF4DD5" w16cid:durableId="40DD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E77718E"/>
    <w:multiLevelType w:val="hybridMultilevel"/>
    <w:tmpl w:val="6762771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7267F"/>
    <w:multiLevelType w:val="hybridMultilevel"/>
    <w:tmpl w:val="5822693E"/>
    <w:lvl w:ilvl="0" w:tplc="155837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A"/>
    <w:rsid w:val="000E14BD"/>
    <w:rsid w:val="001E35D0"/>
    <w:rsid w:val="004D4D73"/>
    <w:rsid w:val="00506826"/>
    <w:rsid w:val="00582901"/>
    <w:rsid w:val="00597D34"/>
    <w:rsid w:val="005C2EB8"/>
    <w:rsid w:val="00634CB8"/>
    <w:rsid w:val="006E34AA"/>
    <w:rsid w:val="007535F7"/>
    <w:rsid w:val="0094043E"/>
    <w:rsid w:val="00AA6710"/>
    <w:rsid w:val="1A2FA1D5"/>
    <w:rsid w:val="1AD7A58A"/>
    <w:rsid w:val="2E0F86C5"/>
    <w:rsid w:val="32A8C68D"/>
    <w:rsid w:val="5F5059A4"/>
    <w:rsid w:val="75CC6795"/>
    <w:rsid w:val="770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A245"/>
  <w15:chartTrackingRefBased/>
  <w15:docId w15:val="{23F48290-DC8D-4F2A-8CD1-C94EFCC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AA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E34AA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6E34AA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01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4D4D73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4D4D73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2</cp:revision>
  <dcterms:created xsi:type="dcterms:W3CDTF">2024-12-04T21:20:00Z</dcterms:created>
  <dcterms:modified xsi:type="dcterms:W3CDTF">2024-12-04T21:20:00Z</dcterms:modified>
</cp:coreProperties>
</file>